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4296" w14:textId="77777777" w:rsidR="007D4C13" w:rsidRPr="003355B9" w:rsidRDefault="00CF4242" w:rsidP="00723869">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216" behindDoc="0" locked="0" layoutInCell="0" allowOverlap="1" wp14:anchorId="11A23C0B" wp14:editId="17E623AD">
                <wp:simplePos x="0" y="0"/>
                <wp:positionH relativeFrom="column">
                  <wp:posOffset>11430</wp:posOffset>
                </wp:positionH>
                <wp:positionV relativeFrom="paragraph">
                  <wp:posOffset>52070</wp:posOffset>
                </wp:positionV>
                <wp:extent cx="6570345" cy="0"/>
                <wp:effectExtent l="11430" t="13970" r="9525"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F0CF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pt" to="518.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" o:allowincell="f"/>
            </w:pict>
          </mc:Fallback>
        </mc:AlternateContent>
      </w:r>
    </w:p>
    <w:p w14:paraId="1BCE7692" w14:textId="77777777" w:rsidR="007D4C13" w:rsidRDefault="007D4C13" w:rsidP="003355B9">
      <w:pPr>
        <w:pStyle w:val="mtrachead3"/>
        <w:tabs>
          <w:tab w:val="right" w:pos="360"/>
          <w:tab w:val="left" w:pos="540"/>
        </w:tabs>
        <w:rPr>
          <w:rFonts w:ascii="Arial" w:hAnsi="Arial" w:cs="Arial"/>
          <w:sz w:val="22"/>
          <w:szCs w:val="22"/>
        </w:rPr>
      </w:pPr>
      <w:r w:rsidRPr="003355B9">
        <w:rPr>
          <w:rFonts w:ascii="Arial" w:hAnsi="Arial" w:cs="Arial"/>
          <w:sz w:val="22"/>
          <w:szCs w:val="22"/>
        </w:rPr>
        <w:t>SECONDARY CARE SECTION TO BE COMPLETED BY INITIATING DOCTOR</w:t>
      </w:r>
    </w:p>
    <w:p w14:paraId="5AA77F1A" w14:textId="77777777" w:rsidR="002F1B08" w:rsidRPr="003355B9" w:rsidRDefault="002F1B08" w:rsidP="003355B9">
      <w:pPr>
        <w:pStyle w:val="mtrachead3"/>
        <w:tabs>
          <w:tab w:val="right" w:pos="360"/>
          <w:tab w:val="left" w:pos="540"/>
        </w:tabs>
        <w:rPr>
          <w:rFonts w:ascii="Arial" w:hAnsi="Arial" w:cs="Arial"/>
          <w:sz w:val="22"/>
          <w:szCs w:val="22"/>
        </w:rPr>
      </w:pPr>
    </w:p>
    <w:tbl>
      <w:tblPr>
        <w:tblStyle w:val="TableGrid"/>
        <w:tblW w:w="0" w:type="auto"/>
        <w:tblLook w:val="04A0" w:firstRow="1" w:lastRow="0" w:firstColumn="1" w:lastColumn="0" w:noHBand="0" w:noVBand="1"/>
      </w:tblPr>
      <w:tblGrid>
        <w:gridCol w:w="1800"/>
        <w:gridCol w:w="921"/>
        <w:gridCol w:w="2701"/>
        <w:gridCol w:w="2526"/>
        <w:gridCol w:w="2509"/>
      </w:tblGrid>
      <w:tr w:rsidR="005B77D8" w:rsidRPr="00CF3FFD" w14:paraId="1F4DD17E" w14:textId="77777777" w:rsidTr="00AC5A78">
        <w:tc>
          <w:tcPr>
            <w:tcW w:w="1809" w:type="dxa"/>
            <w:tcBorders>
              <w:bottom w:val="nil"/>
              <w:right w:val="nil"/>
            </w:tcBorders>
            <w:vAlign w:val="center"/>
          </w:tcPr>
          <w:p w14:paraId="66C3EDE5" w14:textId="77777777" w:rsidR="005B77D8" w:rsidRPr="00CF3FFD" w:rsidRDefault="005B77D8" w:rsidP="00AC5A78">
            <w:pPr>
              <w:pStyle w:val="mtrachead3"/>
              <w:tabs>
                <w:tab w:val="right" w:pos="360"/>
                <w:tab w:val="left" w:pos="540"/>
              </w:tabs>
              <w:spacing w:before="120" w:after="120"/>
              <w:rPr>
                <w:rFonts w:ascii="Arial" w:hAnsi="Arial" w:cs="Arial"/>
                <w:b w:val="0"/>
                <w:sz w:val="22"/>
                <w:szCs w:val="22"/>
              </w:rPr>
            </w:pPr>
            <w:r w:rsidRPr="00CF3FFD">
              <w:rPr>
                <w:rFonts w:ascii="Arial" w:hAnsi="Arial" w:cs="Arial"/>
                <w:b w:val="0"/>
                <w:sz w:val="22"/>
                <w:szCs w:val="22"/>
              </w:rPr>
              <w:t>Patient’s Name</w:t>
            </w:r>
            <w:r w:rsidR="00CF3FFD">
              <w:rPr>
                <w:rFonts w:ascii="Arial" w:hAnsi="Arial" w:cs="Arial"/>
                <w:b w:val="0"/>
                <w:sz w:val="22"/>
                <w:szCs w:val="22"/>
              </w:rPr>
              <w:t>:</w:t>
            </w:r>
          </w:p>
        </w:tc>
        <w:tc>
          <w:tcPr>
            <w:tcW w:w="3686" w:type="dxa"/>
            <w:gridSpan w:val="2"/>
            <w:tcBorders>
              <w:left w:val="nil"/>
              <w:bottom w:val="dashSmallGap" w:sz="4" w:space="0" w:color="auto"/>
              <w:right w:val="nil"/>
            </w:tcBorders>
            <w:vAlign w:val="center"/>
          </w:tcPr>
          <w:p w14:paraId="058A6826" w14:textId="77777777" w:rsidR="00DF5F63" w:rsidRPr="00CF3FFD" w:rsidRDefault="00DF5F63" w:rsidP="00AC5A78">
            <w:pPr>
              <w:pStyle w:val="mtrachead3"/>
              <w:tabs>
                <w:tab w:val="right" w:pos="360"/>
                <w:tab w:val="left" w:pos="540"/>
              </w:tabs>
              <w:spacing w:after="120"/>
              <w:rPr>
                <w:rFonts w:ascii="Arial" w:hAnsi="Arial" w:cs="Arial"/>
                <w:b w:val="0"/>
                <w:sz w:val="22"/>
                <w:szCs w:val="22"/>
              </w:rPr>
            </w:pPr>
          </w:p>
        </w:tc>
        <w:tc>
          <w:tcPr>
            <w:tcW w:w="2551" w:type="dxa"/>
            <w:tcBorders>
              <w:left w:val="nil"/>
              <w:bottom w:val="nil"/>
              <w:right w:val="nil"/>
            </w:tcBorders>
            <w:vAlign w:val="center"/>
          </w:tcPr>
          <w:p w14:paraId="29CA3A3F" w14:textId="77777777" w:rsidR="005B77D8" w:rsidRPr="00CF3FFD" w:rsidRDefault="005B77D8" w:rsidP="00AC5A78">
            <w:pPr>
              <w:pStyle w:val="mtrachead3"/>
              <w:tabs>
                <w:tab w:val="right" w:pos="360"/>
                <w:tab w:val="left" w:pos="540"/>
              </w:tabs>
              <w:spacing w:before="120" w:after="120"/>
              <w:rPr>
                <w:rFonts w:ascii="Arial" w:hAnsi="Arial" w:cs="Arial"/>
                <w:b w:val="0"/>
                <w:sz w:val="22"/>
                <w:szCs w:val="22"/>
              </w:rPr>
            </w:pPr>
            <w:r w:rsidRPr="00CF3FFD">
              <w:rPr>
                <w:rFonts w:ascii="Arial" w:hAnsi="Arial" w:cs="Arial"/>
                <w:b w:val="0"/>
                <w:sz w:val="22"/>
                <w:szCs w:val="22"/>
              </w:rPr>
              <w:t>NHS Number</w:t>
            </w:r>
            <w:r w:rsidR="00CF3FFD">
              <w:rPr>
                <w:rFonts w:ascii="Arial" w:hAnsi="Arial" w:cs="Arial"/>
                <w:b w:val="0"/>
                <w:sz w:val="22"/>
                <w:szCs w:val="22"/>
              </w:rPr>
              <w:t>:</w:t>
            </w:r>
          </w:p>
        </w:tc>
        <w:tc>
          <w:tcPr>
            <w:tcW w:w="2552" w:type="dxa"/>
            <w:tcBorders>
              <w:left w:val="nil"/>
              <w:bottom w:val="dashSmallGap" w:sz="4" w:space="0" w:color="auto"/>
            </w:tcBorders>
            <w:vAlign w:val="center"/>
          </w:tcPr>
          <w:p w14:paraId="4E293E74" w14:textId="77777777" w:rsidR="005B77D8" w:rsidRPr="00CF3FFD" w:rsidRDefault="005B77D8" w:rsidP="00AC5A78">
            <w:pPr>
              <w:pStyle w:val="mtrachead3"/>
              <w:tabs>
                <w:tab w:val="right" w:pos="360"/>
                <w:tab w:val="left" w:pos="540"/>
              </w:tabs>
              <w:spacing w:after="120"/>
              <w:rPr>
                <w:rFonts w:ascii="Arial" w:hAnsi="Arial" w:cs="Arial"/>
                <w:b w:val="0"/>
                <w:sz w:val="22"/>
                <w:szCs w:val="22"/>
              </w:rPr>
            </w:pPr>
          </w:p>
        </w:tc>
      </w:tr>
      <w:tr w:rsidR="00CF3FFD" w:rsidRPr="00CF3FFD" w14:paraId="1116F804" w14:textId="77777777" w:rsidTr="00AC5A78">
        <w:tc>
          <w:tcPr>
            <w:tcW w:w="1809" w:type="dxa"/>
            <w:tcBorders>
              <w:top w:val="nil"/>
              <w:bottom w:val="nil"/>
              <w:right w:val="nil"/>
            </w:tcBorders>
            <w:vAlign w:val="center"/>
          </w:tcPr>
          <w:p w14:paraId="076A9117" w14:textId="77777777" w:rsidR="00CF3FFD" w:rsidRPr="00CF3FFD" w:rsidRDefault="00CF3FFD" w:rsidP="00AC5A78">
            <w:pPr>
              <w:pStyle w:val="mtrachead3"/>
              <w:tabs>
                <w:tab w:val="right" w:pos="360"/>
                <w:tab w:val="left" w:pos="540"/>
              </w:tabs>
              <w:spacing w:before="120" w:after="120"/>
              <w:rPr>
                <w:rFonts w:ascii="Arial" w:hAnsi="Arial" w:cs="Arial"/>
                <w:b w:val="0"/>
                <w:sz w:val="22"/>
                <w:szCs w:val="22"/>
              </w:rPr>
            </w:pPr>
            <w:r w:rsidRPr="00CF3FFD">
              <w:rPr>
                <w:rFonts w:ascii="Arial" w:hAnsi="Arial" w:cs="Arial"/>
                <w:b w:val="0"/>
                <w:sz w:val="22"/>
                <w:szCs w:val="22"/>
              </w:rPr>
              <w:t>Date of Birth</w:t>
            </w:r>
            <w:r>
              <w:rPr>
                <w:rFonts w:ascii="Arial" w:hAnsi="Arial" w:cs="Arial"/>
                <w:b w:val="0"/>
                <w:sz w:val="22"/>
                <w:szCs w:val="22"/>
              </w:rPr>
              <w:t>:</w:t>
            </w:r>
          </w:p>
        </w:tc>
        <w:tc>
          <w:tcPr>
            <w:tcW w:w="3686" w:type="dxa"/>
            <w:gridSpan w:val="2"/>
            <w:tcBorders>
              <w:top w:val="dashSmallGap" w:sz="4" w:space="0" w:color="auto"/>
              <w:left w:val="nil"/>
              <w:bottom w:val="dashSmallGap" w:sz="4" w:space="0" w:color="auto"/>
              <w:right w:val="nil"/>
            </w:tcBorders>
            <w:vAlign w:val="center"/>
          </w:tcPr>
          <w:p w14:paraId="1E4CC951" w14:textId="77777777" w:rsidR="00CF3FFD" w:rsidRPr="00CF3FFD" w:rsidRDefault="00CF3FFD" w:rsidP="00AC5A78">
            <w:pPr>
              <w:pStyle w:val="mtrachead3"/>
              <w:tabs>
                <w:tab w:val="right" w:pos="360"/>
                <w:tab w:val="left" w:pos="540"/>
              </w:tabs>
              <w:spacing w:after="120"/>
              <w:rPr>
                <w:rFonts w:ascii="Arial" w:hAnsi="Arial" w:cs="Arial"/>
                <w:b w:val="0"/>
                <w:sz w:val="22"/>
                <w:szCs w:val="22"/>
              </w:rPr>
            </w:pPr>
          </w:p>
        </w:tc>
        <w:tc>
          <w:tcPr>
            <w:tcW w:w="2551" w:type="dxa"/>
            <w:tcBorders>
              <w:top w:val="nil"/>
              <w:left w:val="nil"/>
              <w:bottom w:val="nil"/>
              <w:right w:val="nil"/>
            </w:tcBorders>
            <w:vAlign w:val="center"/>
          </w:tcPr>
          <w:p w14:paraId="02D3F77B" w14:textId="77777777" w:rsidR="00CF3FFD" w:rsidRPr="00CF3FFD" w:rsidRDefault="00AC5A78" w:rsidP="00AC5A78">
            <w:pPr>
              <w:pStyle w:val="mtrachead3"/>
              <w:tabs>
                <w:tab w:val="right" w:pos="360"/>
                <w:tab w:val="left" w:pos="540"/>
              </w:tabs>
              <w:spacing w:before="120" w:after="120"/>
              <w:ind w:right="-108"/>
              <w:rPr>
                <w:rFonts w:ascii="Arial" w:hAnsi="Arial" w:cs="Arial"/>
                <w:b w:val="0"/>
                <w:sz w:val="22"/>
                <w:szCs w:val="22"/>
              </w:rPr>
            </w:pPr>
            <w:r>
              <w:rPr>
                <w:rFonts w:ascii="Arial" w:hAnsi="Arial" w:cs="Arial"/>
                <w:b w:val="0"/>
                <w:sz w:val="22"/>
                <w:szCs w:val="22"/>
              </w:rPr>
              <w:t>Date T</w:t>
            </w:r>
            <w:r w:rsidR="00CF3FFD" w:rsidRPr="00CF3FFD">
              <w:rPr>
                <w:rFonts w:ascii="Arial" w:hAnsi="Arial" w:cs="Arial"/>
                <w:b w:val="0"/>
                <w:sz w:val="22"/>
                <w:szCs w:val="22"/>
              </w:rPr>
              <w:t xml:space="preserve">reatment </w:t>
            </w:r>
            <w:r>
              <w:rPr>
                <w:rFonts w:ascii="Arial" w:hAnsi="Arial" w:cs="Arial"/>
                <w:b w:val="0"/>
                <w:sz w:val="22"/>
                <w:szCs w:val="22"/>
              </w:rPr>
              <w:t>Started</w:t>
            </w:r>
            <w:r w:rsidR="00CF3FFD">
              <w:rPr>
                <w:rFonts w:ascii="Arial" w:hAnsi="Arial" w:cs="Arial"/>
                <w:b w:val="0"/>
                <w:sz w:val="22"/>
                <w:szCs w:val="22"/>
              </w:rPr>
              <w:t>:</w:t>
            </w:r>
          </w:p>
        </w:tc>
        <w:tc>
          <w:tcPr>
            <w:tcW w:w="2552" w:type="dxa"/>
            <w:tcBorders>
              <w:top w:val="dashSmallGap" w:sz="4" w:space="0" w:color="auto"/>
              <w:left w:val="nil"/>
              <w:bottom w:val="dashSmallGap" w:sz="4" w:space="0" w:color="auto"/>
            </w:tcBorders>
            <w:vAlign w:val="center"/>
          </w:tcPr>
          <w:p w14:paraId="18C9CF00" w14:textId="77777777" w:rsidR="00CF3FFD" w:rsidRPr="00CF3FFD" w:rsidRDefault="00CF3FFD" w:rsidP="00AC5A78">
            <w:pPr>
              <w:pStyle w:val="mtrachead3"/>
              <w:tabs>
                <w:tab w:val="right" w:pos="360"/>
                <w:tab w:val="left" w:pos="540"/>
              </w:tabs>
              <w:spacing w:after="120"/>
              <w:rPr>
                <w:rFonts w:ascii="Arial" w:hAnsi="Arial" w:cs="Arial"/>
                <w:b w:val="0"/>
                <w:sz w:val="22"/>
                <w:szCs w:val="22"/>
              </w:rPr>
            </w:pPr>
          </w:p>
        </w:tc>
      </w:tr>
      <w:tr w:rsidR="00CF3FFD" w:rsidRPr="00CF3FFD" w14:paraId="006F57DE" w14:textId="77777777" w:rsidTr="00AC5A78">
        <w:tc>
          <w:tcPr>
            <w:tcW w:w="5495" w:type="dxa"/>
            <w:gridSpan w:val="3"/>
            <w:tcBorders>
              <w:top w:val="nil"/>
              <w:bottom w:val="nil"/>
              <w:right w:val="nil"/>
            </w:tcBorders>
          </w:tcPr>
          <w:p w14:paraId="393560BC" w14:textId="77777777" w:rsidR="00CF3FFD" w:rsidRPr="00CF3FFD" w:rsidRDefault="00CF3FFD" w:rsidP="00AC5A78">
            <w:pPr>
              <w:pStyle w:val="mtrachead3"/>
              <w:tabs>
                <w:tab w:val="right" w:pos="360"/>
                <w:tab w:val="left" w:pos="540"/>
              </w:tabs>
              <w:spacing w:before="120" w:after="120"/>
              <w:rPr>
                <w:rFonts w:ascii="Arial" w:hAnsi="Arial" w:cs="Arial"/>
                <w:b w:val="0"/>
                <w:sz w:val="22"/>
                <w:szCs w:val="22"/>
              </w:rPr>
            </w:pPr>
          </w:p>
        </w:tc>
        <w:tc>
          <w:tcPr>
            <w:tcW w:w="5103" w:type="dxa"/>
            <w:gridSpan w:val="2"/>
            <w:tcBorders>
              <w:top w:val="nil"/>
              <w:left w:val="nil"/>
              <w:bottom w:val="nil"/>
            </w:tcBorders>
            <w:vAlign w:val="bottom"/>
          </w:tcPr>
          <w:p w14:paraId="4FCCD760" w14:textId="77777777" w:rsidR="00CF3FFD" w:rsidRPr="00CF3FFD" w:rsidRDefault="00AC5A78" w:rsidP="00DF5F63">
            <w:pPr>
              <w:pStyle w:val="mtrachead3"/>
              <w:tabs>
                <w:tab w:val="right" w:pos="360"/>
                <w:tab w:val="left" w:pos="540"/>
              </w:tabs>
              <w:rPr>
                <w:rFonts w:ascii="Arial" w:hAnsi="Arial" w:cs="Arial"/>
                <w:b w:val="0"/>
                <w:sz w:val="22"/>
                <w:szCs w:val="22"/>
              </w:rPr>
            </w:pPr>
            <w:r w:rsidRPr="00CF3FFD">
              <w:rPr>
                <w:rFonts w:ascii="Arial" w:hAnsi="Arial" w:cs="Arial"/>
                <w:b w:val="0"/>
                <w:i/>
                <w:sz w:val="22"/>
                <w:szCs w:val="22"/>
              </w:rPr>
              <w:t>(</w:t>
            </w:r>
            <w:r w:rsidR="00DF5F63">
              <w:rPr>
                <w:rFonts w:ascii="Arial" w:hAnsi="Arial" w:cs="Arial"/>
                <w:b w:val="0"/>
                <w:i/>
                <w:sz w:val="22"/>
                <w:szCs w:val="22"/>
              </w:rPr>
              <w:t>Add Date</w:t>
            </w:r>
            <w:r w:rsidRPr="00CF3FFD">
              <w:rPr>
                <w:rFonts w:ascii="Arial" w:hAnsi="Arial" w:cs="Arial"/>
                <w:b w:val="0"/>
                <w:i/>
                <w:sz w:val="22"/>
                <w:szCs w:val="22"/>
              </w:rPr>
              <w:t>)</w:t>
            </w:r>
          </w:p>
        </w:tc>
      </w:tr>
      <w:tr w:rsidR="00AC5A78" w:rsidRPr="00CF3FFD" w14:paraId="171E5C83" w14:textId="77777777" w:rsidTr="00AC5A78">
        <w:tc>
          <w:tcPr>
            <w:tcW w:w="5495" w:type="dxa"/>
            <w:gridSpan w:val="3"/>
            <w:tcBorders>
              <w:top w:val="nil"/>
              <w:bottom w:val="nil"/>
              <w:right w:val="nil"/>
            </w:tcBorders>
          </w:tcPr>
          <w:p w14:paraId="4A8A98E5" w14:textId="77777777" w:rsidR="00AC5A78" w:rsidRPr="00CF3FFD" w:rsidRDefault="00AC5A78" w:rsidP="00230394">
            <w:pPr>
              <w:pStyle w:val="mtrachead3"/>
              <w:tabs>
                <w:tab w:val="right" w:pos="360"/>
                <w:tab w:val="left" w:pos="540"/>
              </w:tabs>
              <w:spacing w:before="120" w:after="120"/>
              <w:rPr>
                <w:rFonts w:ascii="Arial" w:hAnsi="Arial" w:cs="Arial"/>
                <w:b w:val="0"/>
                <w:sz w:val="22"/>
                <w:szCs w:val="22"/>
              </w:rPr>
            </w:pPr>
            <w:r w:rsidRPr="00CF3FFD">
              <w:rPr>
                <w:rFonts w:ascii="Arial" w:hAnsi="Arial" w:cs="Arial"/>
                <w:b w:val="0"/>
                <w:sz w:val="22"/>
                <w:szCs w:val="22"/>
              </w:rPr>
              <w:t xml:space="preserve">One copy of information leaflet given to patient </w:t>
            </w:r>
          </w:p>
          <w:p w14:paraId="42185A57" w14:textId="77777777" w:rsidR="00AC5A78" w:rsidRPr="00CF3FFD" w:rsidRDefault="00AC5A78" w:rsidP="00230394">
            <w:pPr>
              <w:pStyle w:val="mtrachead3"/>
              <w:tabs>
                <w:tab w:val="right" w:pos="360"/>
                <w:tab w:val="left" w:pos="540"/>
              </w:tabs>
              <w:spacing w:before="120" w:after="120"/>
              <w:rPr>
                <w:rFonts w:ascii="Arial" w:hAnsi="Arial" w:cs="Arial"/>
                <w:b w:val="0"/>
                <w:sz w:val="22"/>
                <w:szCs w:val="22"/>
              </w:rPr>
            </w:pPr>
            <w:r w:rsidRPr="00CF3FFD">
              <w:rPr>
                <w:rFonts w:ascii="Arial" w:hAnsi="Arial" w:cs="Arial"/>
                <w:b w:val="0"/>
                <w:sz w:val="22"/>
                <w:szCs w:val="22"/>
              </w:rPr>
              <w:t>One copy of agreement sent to general practitioner</w:t>
            </w:r>
            <w:r w:rsidRPr="00CF3FFD">
              <w:rPr>
                <w:rFonts w:ascii="Arial" w:hAnsi="Arial" w:cs="Arial"/>
                <w:b w:val="0"/>
                <w:sz w:val="22"/>
                <w:szCs w:val="22"/>
              </w:rPr>
              <w:tab/>
            </w:r>
          </w:p>
          <w:p w14:paraId="3B4E960B" w14:textId="77777777" w:rsidR="00AC5A78" w:rsidRPr="00CF3FFD" w:rsidRDefault="00FA2CC1" w:rsidP="00375C2E">
            <w:pPr>
              <w:pStyle w:val="mtrachead3"/>
              <w:tabs>
                <w:tab w:val="right" w:pos="360"/>
                <w:tab w:val="left" w:pos="540"/>
              </w:tabs>
              <w:spacing w:before="120" w:after="120"/>
              <w:rPr>
                <w:rFonts w:ascii="Arial" w:hAnsi="Arial" w:cs="Arial"/>
                <w:b w:val="0"/>
                <w:sz w:val="22"/>
                <w:szCs w:val="22"/>
              </w:rPr>
            </w:pPr>
            <w:r w:rsidRPr="00FA2CC1">
              <w:rPr>
                <w:rFonts w:ascii="Arial" w:hAnsi="Arial" w:cs="Arial"/>
                <w:b w:val="0"/>
                <w:sz w:val="22"/>
                <w:szCs w:val="22"/>
              </w:rPr>
              <w:t>One copy filed in patients notes</w:t>
            </w:r>
          </w:p>
        </w:tc>
        <w:tc>
          <w:tcPr>
            <w:tcW w:w="5103" w:type="dxa"/>
            <w:gridSpan w:val="2"/>
            <w:tcBorders>
              <w:top w:val="nil"/>
              <w:left w:val="nil"/>
              <w:bottom w:val="nil"/>
            </w:tcBorders>
          </w:tcPr>
          <w:p w14:paraId="50DF070D" w14:textId="77777777" w:rsidR="00AC5A78" w:rsidRPr="00CF3FFD" w:rsidRDefault="00AC5A78" w:rsidP="00230394">
            <w:pPr>
              <w:pStyle w:val="mtrachead3"/>
              <w:tabs>
                <w:tab w:val="right" w:pos="360"/>
                <w:tab w:val="left" w:pos="540"/>
              </w:tabs>
              <w:rPr>
                <w:rFonts w:ascii="Arial" w:hAnsi="Arial" w:cs="Arial"/>
                <w:b w:val="0"/>
                <w:sz w:val="22"/>
                <w:szCs w:val="22"/>
              </w:rPr>
            </w:pPr>
          </w:p>
        </w:tc>
      </w:tr>
      <w:tr w:rsidR="00AC5A78" w:rsidRPr="00CF3FFD" w14:paraId="24CC58B2" w14:textId="77777777" w:rsidTr="00AC5A78">
        <w:tc>
          <w:tcPr>
            <w:tcW w:w="2747" w:type="dxa"/>
            <w:gridSpan w:val="2"/>
            <w:tcBorders>
              <w:top w:val="nil"/>
              <w:bottom w:val="nil"/>
              <w:right w:val="nil"/>
            </w:tcBorders>
          </w:tcPr>
          <w:p w14:paraId="02CFB874" w14:textId="77777777" w:rsidR="00AC5A78" w:rsidRPr="00CF3FFD" w:rsidRDefault="00AC5A78" w:rsidP="00CF3FFD">
            <w:pPr>
              <w:pStyle w:val="mtrachead3"/>
              <w:tabs>
                <w:tab w:val="right" w:pos="360"/>
                <w:tab w:val="left" w:pos="540"/>
              </w:tabs>
              <w:spacing w:before="60" w:after="60"/>
              <w:rPr>
                <w:rFonts w:ascii="Arial" w:hAnsi="Arial" w:cs="Arial"/>
                <w:b w:val="0"/>
                <w:sz w:val="22"/>
                <w:szCs w:val="22"/>
              </w:rPr>
            </w:pPr>
            <w:r>
              <w:rPr>
                <w:rFonts w:ascii="Arial" w:hAnsi="Arial" w:cs="Arial"/>
                <w:b w:val="0"/>
                <w:sz w:val="22"/>
                <w:szCs w:val="22"/>
              </w:rPr>
              <w:t>Name of Initiating D</w:t>
            </w:r>
            <w:r w:rsidRPr="003355B9">
              <w:rPr>
                <w:rFonts w:ascii="Arial" w:hAnsi="Arial" w:cs="Arial"/>
                <w:b w:val="0"/>
                <w:sz w:val="22"/>
                <w:szCs w:val="22"/>
              </w:rPr>
              <w:t>octor</w:t>
            </w:r>
            <w:r>
              <w:rPr>
                <w:rFonts w:ascii="Arial" w:hAnsi="Arial" w:cs="Arial"/>
                <w:b w:val="0"/>
                <w:sz w:val="22"/>
                <w:szCs w:val="22"/>
              </w:rPr>
              <w:t>:</w:t>
            </w:r>
          </w:p>
        </w:tc>
        <w:tc>
          <w:tcPr>
            <w:tcW w:w="2748" w:type="dxa"/>
            <w:tcBorders>
              <w:top w:val="nil"/>
              <w:left w:val="nil"/>
              <w:bottom w:val="dashSmallGap" w:sz="4" w:space="0" w:color="auto"/>
              <w:right w:val="nil"/>
            </w:tcBorders>
          </w:tcPr>
          <w:p w14:paraId="75E3E9B8" w14:textId="77777777" w:rsidR="00AC5A78" w:rsidRPr="00CF3FFD" w:rsidRDefault="00AC5A78" w:rsidP="00CF3FFD">
            <w:pPr>
              <w:pStyle w:val="mtrachead3"/>
              <w:tabs>
                <w:tab w:val="right" w:pos="360"/>
                <w:tab w:val="left" w:pos="540"/>
              </w:tabs>
              <w:spacing w:before="60" w:after="60"/>
              <w:rPr>
                <w:rFonts w:ascii="Arial" w:hAnsi="Arial" w:cs="Arial"/>
                <w:b w:val="0"/>
                <w:sz w:val="22"/>
                <w:szCs w:val="22"/>
              </w:rPr>
            </w:pPr>
          </w:p>
        </w:tc>
        <w:tc>
          <w:tcPr>
            <w:tcW w:w="5103" w:type="dxa"/>
            <w:gridSpan w:val="2"/>
            <w:tcBorders>
              <w:top w:val="nil"/>
              <w:left w:val="nil"/>
              <w:bottom w:val="nil"/>
            </w:tcBorders>
          </w:tcPr>
          <w:p w14:paraId="438A1ECC" w14:textId="77777777" w:rsidR="00AC5A78" w:rsidRPr="00CF3FFD" w:rsidRDefault="00AC5A78" w:rsidP="003355B9">
            <w:pPr>
              <w:pStyle w:val="mtrachead3"/>
              <w:tabs>
                <w:tab w:val="right" w:pos="360"/>
                <w:tab w:val="left" w:pos="540"/>
              </w:tabs>
              <w:rPr>
                <w:rFonts w:ascii="Arial" w:hAnsi="Arial" w:cs="Arial"/>
                <w:b w:val="0"/>
                <w:sz w:val="22"/>
                <w:szCs w:val="22"/>
              </w:rPr>
            </w:pPr>
          </w:p>
        </w:tc>
      </w:tr>
      <w:tr w:rsidR="00AC5A78" w:rsidRPr="00CF3FFD" w14:paraId="3487B24C" w14:textId="77777777" w:rsidTr="00AC5A78">
        <w:tc>
          <w:tcPr>
            <w:tcW w:w="2747" w:type="dxa"/>
            <w:gridSpan w:val="2"/>
            <w:tcBorders>
              <w:top w:val="nil"/>
              <w:bottom w:val="nil"/>
              <w:right w:val="nil"/>
            </w:tcBorders>
          </w:tcPr>
          <w:p w14:paraId="4E735D4F" w14:textId="77777777" w:rsidR="00AC5A78" w:rsidRPr="003355B9" w:rsidRDefault="00AC5A78" w:rsidP="00CF3FFD">
            <w:pPr>
              <w:pStyle w:val="mtrachead3"/>
              <w:tabs>
                <w:tab w:val="right" w:pos="360"/>
                <w:tab w:val="left" w:pos="540"/>
              </w:tabs>
              <w:spacing w:before="60" w:after="60"/>
              <w:rPr>
                <w:rFonts w:ascii="Arial" w:hAnsi="Arial" w:cs="Arial"/>
                <w:b w:val="0"/>
                <w:sz w:val="22"/>
                <w:szCs w:val="22"/>
              </w:rPr>
            </w:pPr>
            <w:r w:rsidRPr="003355B9">
              <w:rPr>
                <w:rFonts w:ascii="Arial" w:hAnsi="Arial" w:cs="Arial"/>
                <w:b w:val="0"/>
                <w:sz w:val="22"/>
                <w:szCs w:val="22"/>
              </w:rPr>
              <w:t>Consultant</w:t>
            </w:r>
            <w:r>
              <w:rPr>
                <w:rFonts w:ascii="Arial" w:hAnsi="Arial" w:cs="Arial"/>
                <w:b w:val="0"/>
                <w:sz w:val="22"/>
                <w:szCs w:val="22"/>
              </w:rPr>
              <w:t>:</w:t>
            </w:r>
          </w:p>
        </w:tc>
        <w:tc>
          <w:tcPr>
            <w:tcW w:w="2748" w:type="dxa"/>
            <w:tcBorders>
              <w:top w:val="dashSmallGap" w:sz="4" w:space="0" w:color="auto"/>
              <w:left w:val="nil"/>
              <w:bottom w:val="dashSmallGap" w:sz="4" w:space="0" w:color="auto"/>
              <w:right w:val="nil"/>
            </w:tcBorders>
          </w:tcPr>
          <w:p w14:paraId="3ACF85D4" w14:textId="77777777" w:rsidR="00AC5A78" w:rsidRPr="00CF3FFD" w:rsidRDefault="00AC5A78" w:rsidP="00CF3FFD">
            <w:pPr>
              <w:pStyle w:val="mtrachead3"/>
              <w:tabs>
                <w:tab w:val="right" w:pos="360"/>
                <w:tab w:val="left" w:pos="540"/>
              </w:tabs>
              <w:spacing w:before="60" w:after="60"/>
              <w:rPr>
                <w:rFonts w:ascii="Arial" w:hAnsi="Arial" w:cs="Arial"/>
                <w:b w:val="0"/>
                <w:sz w:val="22"/>
                <w:szCs w:val="22"/>
              </w:rPr>
            </w:pPr>
          </w:p>
        </w:tc>
        <w:tc>
          <w:tcPr>
            <w:tcW w:w="5103" w:type="dxa"/>
            <w:gridSpan w:val="2"/>
            <w:tcBorders>
              <w:top w:val="nil"/>
              <w:left w:val="nil"/>
              <w:bottom w:val="nil"/>
            </w:tcBorders>
          </w:tcPr>
          <w:p w14:paraId="464DDF98" w14:textId="77777777" w:rsidR="00AC5A78" w:rsidRPr="00CF3FFD" w:rsidRDefault="00AC5A78" w:rsidP="003355B9">
            <w:pPr>
              <w:pStyle w:val="mtrachead3"/>
              <w:tabs>
                <w:tab w:val="right" w:pos="360"/>
                <w:tab w:val="left" w:pos="540"/>
              </w:tabs>
              <w:rPr>
                <w:rFonts w:ascii="Arial" w:hAnsi="Arial" w:cs="Arial"/>
                <w:b w:val="0"/>
                <w:sz w:val="22"/>
                <w:szCs w:val="22"/>
              </w:rPr>
            </w:pPr>
          </w:p>
        </w:tc>
      </w:tr>
      <w:tr w:rsidR="00AC5A78" w:rsidRPr="00CF3FFD" w14:paraId="72D3200D" w14:textId="77777777" w:rsidTr="00AC5A78">
        <w:tc>
          <w:tcPr>
            <w:tcW w:w="2747" w:type="dxa"/>
            <w:gridSpan w:val="2"/>
            <w:tcBorders>
              <w:top w:val="nil"/>
              <w:bottom w:val="nil"/>
              <w:right w:val="nil"/>
            </w:tcBorders>
          </w:tcPr>
          <w:p w14:paraId="54CFCC8C" w14:textId="77777777" w:rsidR="00AC5A78" w:rsidRPr="003355B9" w:rsidRDefault="00AC5A78" w:rsidP="00CF3FFD">
            <w:pPr>
              <w:pStyle w:val="mtrachead3"/>
              <w:tabs>
                <w:tab w:val="right" w:pos="360"/>
                <w:tab w:val="left" w:pos="540"/>
              </w:tabs>
              <w:spacing w:before="60" w:after="60"/>
              <w:rPr>
                <w:rFonts w:ascii="Arial" w:hAnsi="Arial" w:cs="Arial"/>
                <w:b w:val="0"/>
                <w:sz w:val="22"/>
                <w:szCs w:val="22"/>
              </w:rPr>
            </w:pPr>
            <w:r w:rsidRPr="003355B9">
              <w:rPr>
                <w:rFonts w:ascii="Arial" w:hAnsi="Arial" w:cs="Arial"/>
                <w:b w:val="0"/>
                <w:sz w:val="22"/>
                <w:szCs w:val="22"/>
              </w:rPr>
              <w:t>Speciality</w:t>
            </w:r>
            <w:r>
              <w:rPr>
                <w:rFonts w:ascii="Arial" w:hAnsi="Arial" w:cs="Arial"/>
                <w:b w:val="0"/>
                <w:sz w:val="22"/>
                <w:szCs w:val="22"/>
              </w:rPr>
              <w:t>:</w:t>
            </w:r>
          </w:p>
        </w:tc>
        <w:tc>
          <w:tcPr>
            <w:tcW w:w="2748" w:type="dxa"/>
            <w:tcBorders>
              <w:top w:val="dashSmallGap" w:sz="4" w:space="0" w:color="auto"/>
              <w:left w:val="nil"/>
              <w:bottom w:val="dashSmallGap" w:sz="4" w:space="0" w:color="auto"/>
              <w:right w:val="nil"/>
            </w:tcBorders>
          </w:tcPr>
          <w:p w14:paraId="42E706E1" w14:textId="77777777" w:rsidR="00AC5A78" w:rsidRPr="00CF3FFD" w:rsidRDefault="00AC5A78" w:rsidP="00CF3FFD">
            <w:pPr>
              <w:pStyle w:val="mtrachead3"/>
              <w:tabs>
                <w:tab w:val="right" w:pos="360"/>
                <w:tab w:val="left" w:pos="540"/>
              </w:tabs>
              <w:spacing w:before="60" w:after="60"/>
              <w:rPr>
                <w:rFonts w:ascii="Arial" w:hAnsi="Arial" w:cs="Arial"/>
                <w:b w:val="0"/>
                <w:sz w:val="22"/>
                <w:szCs w:val="22"/>
              </w:rPr>
            </w:pPr>
          </w:p>
        </w:tc>
        <w:tc>
          <w:tcPr>
            <w:tcW w:w="5103" w:type="dxa"/>
            <w:gridSpan w:val="2"/>
            <w:tcBorders>
              <w:top w:val="nil"/>
              <w:left w:val="nil"/>
              <w:bottom w:val="nil"/>
            </w:tcBorders>
          </w:tcPr>
          <w:p w14:paraId="33FFAE6B" w14:textId="77777777" w:rsidR="00AC5A78" w:rsidRPr="00CF3FFD" w:rsidRDefault="00AC5A78" w:rsidP="003355B9">
            <w:pPr>
              <w:pStyle w:val="mtrachead3"/>
              <w:tabs>
                <w:tab w:val="right" w:pos="360"/>
                <w:tab w:val="left" w:pos="540"/>
              </w:tabs>
              <w:rPr>
                <w:rFonts w:ascii="Arial" w:hAnsi="Arial" w:cs="Arial"/>
                <w:b w:val="0"/>
                <w:sz w:val="22"/>
                <w:szCs w:val="22"/>
              </w:rPr>
            </w:pPr>
          </w:p>
        </w:tc>
      </w:tr>
      <w:tr w:rsidR="00AC5A78" w:rsidRPr="00CF3FFD" w14:paraId="58EF2772" w14:textId="77777777" w:rsidTr="00AC5A78">
        <w:tc>
          <w:tcPr>
            <w:tcW w:w="2747" w:type="dxa"/>
            <w:gridSpan w:val="2"/>
            <w:tcBorders>
              <w:top w:val="nil"/>
              <w:bottom w:val="nil"/>
              <w:right w:val="nil"/>
            </w:tcBorders>
          </w:tcPr>
          <w:p w14:paraId="2881831E" w14:textId="77777777" w:rsidR="00AC5A78" w:rsidRPr="003355B9" w:rsidRDefault="00AC5A78" w:rsidP="00CF3FFD">
            <w:pPr>
              <w:pStyle w:val="mtrachead3"/>
              <w:tabs>
                <w:tab w:val="right" w:pos="360"/>
                <w:tab w:val="left" w:pos="540"/>
              </w:tabs>
              <w:spacing w:before="60" w:after="60"/>
              <w:rPr>
                <w:rFonts w:ascii="Arial" w:hAnsi="Arial" w:cs="Arial"/>
                <w:b w:val="0"/>
                <w:sz w:val="22"/>
                <w:szCs w:val="22"/>
              </w:rPr>
            </w:pPr>
            <w:r w:rsidRPr="003355B9">
              <w:rPr>
                <w:rFonts w:ascii="Arial" w:hAnsi="Arial" w:cs="Arial"/>
                <w:b w:val="0"/>
                <w:sz w:val="22"/>
                <w:szCs w:val="22"/>
              </w:rPr>
              <w:t xml:space="preserve">Fax Number: </w:t>
            </w:r>
          </w:p>
        </w:tc>
        <w:tc>
          <w:tcPr>
            <w:tcW w:w="2748" w:type="dxa"/>
            <w:tcBorders>
              <w:top w:val="dashSmallGap" w:sz="4" w:space="0" w:color="auto"/>
              <w:left w:val="nil"/>
              <w:bottom w:val="dashSmallGap" w:sz="4" w:space="0" w:color="auto"/>
              <w:right w:val="nil"/>
            </w:tcBorders>
          </w:tcPr>
          <w:p w14:paraId="0B8FDB10" w14:textId="77777777" w:rsidR="00AC5A78" w:rsidRPr="003355B9" w:rsidRDefault="00AC5A78" w:rsidP="00CF3FFD">
            <w:pPr>
              <w:pStyle w:val="mtrachead3"/>
              <w:tabs>
                <w:tab w:val="right" w:pos="360"/>
                <w:tab w:val="left" w:pos="540"/>
              </w:tabs>
              <w:spacing w:before="60" w:after="60"/>
              <w:rPr>
                <w:rFonts w:ascii="Arial" w:hAnsi="Arial" w:cs="Arial"/>
                <w:b w:val="0"/>
                <w:sz w:val="22"/>
                <w:szCs w:val="22"/>
              </w:rPr>
            </w:pPr>
          </w:p>
        </w:tc>
        <w:tc>
          <w:tcPr>
            <w:tcW w:w="5103" w:type="dxa"/>
            <w:gridSpan w:val="2"/>
            <w:tcBorders>
              <w:top w:val="nil"/>
              <w:left w:val="nil"/>
              <w:bottom w:val="nil"/>
            </w:tcBorders>
          </w:tcPr>
          <w:p w14:paraId="28D39B07" w14:textId="77777777" w:rsidR="00AC5A78" w:rsidRPr="00CF3FFD" w:rsidRDefault="00AC5A78" w:rsidP="003355B9">
            <w:pPr>
              <w:pStyle w:val="mtrachead3"/>
              <w:tabs>
                <w:tab w:val="right" w:pos="360"/>
                <w:tab w:val="left" w:pos="540"/>
              </w:tabs>
              <w:rPr>
                <w:rFonts w:ascii="Arial" w:hAnsi="Arial" w:cs="Arial"/>
                <w:b w:val="0"/>
                <w:sz w:val="22"/>
                <w:szCs w:val="22"/>
              </w:rPr>
            </w:pPr>
          </w:p>
        </w:tc>
      </w:tr>
      <w:tr w:rsidR="00AC5A78" w:rsidRPr="00CF3FFD" w14:paraId="367CD713" w14:textId="77777777" w:rsidTr="00AC5A78">
        <w:tc>
          <w:tcPr>
            <w:tcW w:w="2747" w:type="dxa"/>
            <w:gridSpan w:val="2"/>
            <w:tcBorders>
              <w:top w:val="nil"/>
              <w:right w:val="nil"/>
            </w:tcBorders>
          </w:tcPr>
          <w:p w14:paraId="69C91A53" w14:textId="77777777" w:rsidR="00AC5A78" w:rsidRPr="003355B9" w:rsidRDefault="00AC5A78" w:rsidP="00CF3FFD">
            <w:pPr>
              <w:pStyle w:val="mtrachead3"/>
              <w:tabs>
                <w:tab w:val="right" w:pos="360"/>
                <w:tab w:val="left" w:pos="540"/>
              </w:tabs>
              <w:spacing w:before="60" w:after="60"/>
              <w:rPr>
                <w:rFonts w:ascii="Arial" w:hAnsi="Arial" w:cs="Arial"/>
                <w:b w:val="0"/>
                <w:sz w:val="22"/>
                <w:szCs w:val="22"/>
              </w:rPr>
            </w:pPr>
          </w:p>
        </w:tc>
        <w:tc>
          <w:tcPr>
            <w:tcW w:w="2748" w:type="dxa"/>
            <w:tcBorders>
              <w:top w:val="dashSmallGap" w:sz="4" w:space="0" w:color="auto"/>
              <w:left w:val="nil"/>
              <w:right w:val="nil"/>
            </w:tcBorders>
          </w:tcPr>
          <w:p w14:paraId="6303E127" w14:textId="77777777" w:rsidR="00AC5A78" w:rsidRPr="003355B9" w:rsidRDefault="00AC5A78" w:rsidP="00CF3FFD">
            <w:pPr>
              <w:pStyle w:val="mtrachead3"/>
              <w:tabs>
                <w:tab w:val="right" w:pos="360"/>
                <w:tab w:val="left" w:pos="540"/>
              </w:tabs>
              <w:spacing w:before="60" w:after="60"/>
              <w:rPr>
                <w:rFonts w:ascii="Arial" w:hAnsi="Arial" w:cs="Arial"/>
                <w:b w:val="0"/>
                <w:sz w:val="22"/>
                <w:szCs w:val="22"/>
              </w:rPr>
            </w:pPr>
          </w:p>
        </w:tc>
        <w:tc>
          <w:tcPr>
            <w:tcW w:w="5103" w:type="dxa"/>
            <w:gridSpan w:val="2"/>
            <w:tcBorders>
              <w:top w:val="nil"/>
              <w:left w:val="nil"/>
            </w:tcBorders>
          </w:tcPr>
          <w:p w14:paraId="26E190CD" w14:textId="77777777" w:rsidR="00AC5A78" w:rsidRPr="00CF3FFD" w:rsidRDefault="00AC5A78" w:rsidP="003355B9">
            <w:pPr>
              <w:pStyle w:val="mtrachead3"/>
              <w:tabs>
                <w:tab w:val="right" w:pos="360"/>
                <w:tab w:val="left" w:pos="540"/>
              </w:tabs>
              <w:rPr>
                <w:rFonts w:ascii="Arial" w:hAnsi="Arial" w:cs="Arial"/>
                <w:b w:val="0"/>
                <w:sz w:val="22"/>
                <w:szCs w:val="22"/>
              </w:rPr>
            </w:pPr>
          </w:p>
        </w:tc>
      </w:tr>
    </w:tbl>
    <w:p w14:paraId="6E53BC21" w14:textId="77777777" w:rsidR="005B77D8" w:rsidRDefault="00155402" w:rsidP="003355B9">
      <w:pPr>
        <w:pStyle w:val="mtrachead3"/>
        <w:tabs>
          <w:tab w:val="right" w:pos="360"/>
          <w:tab w:val="left" w:pos="540"/>
        </w:tabs>
        <w:rPr>
          <w:rFonts w:ascii="Arial" w:hAnsi="Arial" w:cs="Arial"/>
          <w:b w:val="0"/>
          <w:sz w:val="22"/>
          <w:szCs w:val="22"/>
        </w:rPr>
      </w:pPr>
      <w:r>
        <w:rPr>
          <w:rFonts w:ascii="Arial" w:hAnsi="Arial" w:cs="Arial"/>
          <w:b w:val="0"/>
          <w:sz w:val="22"/>
          <w:szCs w:val="22"/>
        </w:rPr>
        <w:t xml:space="preserve"> </w:t>
      </w:r>
    </w:p>
    <w:p w14:paraId="1D654217" w14:textId="77777777" w:rsidR="007D4C13" w:rsidRPr="003355B9" w:rsidRDefault="007D4C13" w:rsidP="003355B9">
      <w:pPr>
        <w:pStyle w:val="mtrachead3"/>
        <w:tabs>
          <w:tab w:val="right" w:pos="360"/>
          <w:tab w:val="left" w:pos="540"/>
        </w:tabs>
        <w:rPr>
          <w:rFonts w:ascii="Arial" w:hAnsi="Arial" w:cs="Arial"/>
          <w:b w:val="0"/>
          <w:sz w:val="22"/>
          <w:szCs w:val="22"/>
          <w:u w:val="single"/>
        </w:rPr>
      </w:pPr>
    </w:p>
    <w:p w14:paraId="50A528D2" w14:textId="77777777" w:rsidR="007D4C13" w:rsidRDefault="007D4C13" w:rsidP="003355B9">
      <w:pPr>
        <w:pStyle w:val="mtrachead3"/>
        <w:tabs>
          <w:tab w:val="right" w:pos="360"/>
          <w:tab w:val="left" w:pos="540"/>
        </w:tabs>
        <w:rPr>
          <w:rFonts w:ascii="Arial" w:hAnsi="Arial" w:cs="Arial"/>
          <w:sz w:val="22"/>
          <w:szCs w:val="22"/>
        </w:rPr>
      </w:pPr>
      <w:r w:rsidRPr="003355B9">
        <w:rPr>
          <w:rFonts w:ascii="Arial" w:hAnsi="Arial" w:cs="Arial"/>
          <w:sz w:val="22"/>
          <w:szCs w:val="22"/>
        </w:rPr>
        <w:t>PRIMARY CARE SECTION TO BE COMPLETED BY GENERAL PRACTITIONER</w:t>
      </w:r>
    </w:p>
    <w:p w14:paraId="6B1BF088" w14:textId="77777777" w:rsidR="002F1B08" w:rsidRPr="003355B9" w:rsidRDefault="002F1B08" w:rsidP="003355B9">
      <w:pPr>
        <w:pStyle w:val="mtrachead3"/>
        <w:tabs>
          <w:tab w:val="right" w:pos="360"/>
          <w:tab w:val="left" w:pos="540"/>
        </w:tabs>
        <w:rPr>
          <w:rFonts w:ascii="Arial" w:hAnsi="Arial" w:cs="Arial"/>
          <w:sz w:val="22"/>
          <w:szCs w:val="22"/>
        </w:rPr>
      </w:pPr>
    </w:p>
    <w:tbl>
      <w:tblPr>
        <w:tblStyle w:val="TableGrid"/>
        <w:tblW w:w="0" w:type="auto"/>
        <w:tblBorders>
          <w:insideH w:val="none" w:sz="0" w:space="0" w:color="auto"/>
        </w:tblBorders>
        <w:tblLook w:val="04A0" w:firstRow="1" w:lastRow="0" w:firstColumn="1" w:lastColumn="0" w:noHBand="0" w:noVBand="1"/>
      </w:tblPr>
      <w:tblGrid>
        <w:gridCol w:w="1380"/>
        <w:gridCol w:w="4143"/>
        <w:gridCol w:w="985"/>
        <w:gridCol w:w="3949"/>
      </w:tblGrid>
      <w:tr w:rsidR="00AC5A78" w14:paraId="2E99DB2B" w14:textId="77777777" w:rsidTr="00C55AEA">
        <w:tc>
          <w:tcPr>
            <w:tcW w:w="10683" w:type="dxa"/>
            <w:gridSpan w:val="4"/>
          </w:tcPr>
          <w:p w14:paraId="29E76EFE" w14:textId="77777777" w:rsidR="00AC5A78" w:rsidRPr="00AC5A78" w:rsidRDefault="00AC5A78" w:rsidP="00C55AEA">
            <w:pPr>
              <w:pStyle w:val="mtrachead3"/>
              <w:tabs>
                <w:tab w:val="right" w:pos="360"/>
                <w:tab w:val="left" w:pos="540"/>
              </w:tabs>
              <w:spacing w:before="120" w:after="120"/>
              <w:rPr>
                <w:rFonts w:ascii="Arial" w:hAnsi="Arial" w:cs="Arial"/>
                <w:b w:val="0"/>
                <w:sz w:val="22"/>
                <w:szCs w:val="22"/>
              </w:rPr>
            </w:pPr>
            <w:r w:rsidRPr="003355B9">
              <w:rPr>
                <w:rFonts w:ascii="Arial" w:hAnsi="Arial" w:cs="Arial"/>
                <w:b w:val="0"/>
                <w:sz w:val="22"/>
                <w:szCs w:val="22"/>
              </w:rPr>
              <w:t>I agree*/don’t agree* to enter into a shared care arrangement for the treatment of the above patient with this medicine (*delete as appropriate)</w:t>
            </w:r>
          </w:p>
        </w:tc>
      </w:tr>
      <w:tr w:rsidR="00605C80" w14:paraId="29C86B06" w14:textId="77777777" w:rsidTr="00605C80">
        <w:tc>
          <w:tcPr>
            <w:tcW w:w="1384" w:type="dxa"/>
            <w:tcBorders>
              <w:right w:val="nil"/>
            </w:tcBorders>
          </w:tcPr>
          <w:p w14:paraId="5F79D2BE" w14:textId="77777777" w:rsidR="00605C80" w:rsidRPr="00AC5A78" w:rsidRDefault="00605C80" w:rsidP="00C55AEA">
            <w:pPr>
              <w:pStyle w:val="mtrachead3"/>
              <w:tabs>
                <w:tab w:val="right" w:pos="360"/>
                <w:tab w:val="left" w:pos="540"/>
              </w:tabs>
              <w:spacing w:before="120" w:after="120"/>
              <w:rPr>
                <w:rFonts w:ascii="Arial" w:hAnsi="Arial" w:cs="Arial"/>
                <w:b w:val="0"/>
                <w:sz w:val="22"/>
                <w:szCs w:val="22"/>
              </w:rPr>
            </w:pPr>
            <w:r>
              <w:rPr>
                <w:rFonts w:ascii="Arial" w:hAnsi="Arial" w:cs="Arial"/>
                <w:b w:val="0"/>
                <w:sz w:val="22"/>
                <w:szCs w:val="22"/>
              </w:rPr>
              <w:t>GP</w:t>
            </w:r>
            <w:r w:rsidRPr="003355B9">
              <w:rPr>
                <w:rFonts w:ascii="Arial" w:hAnsi="Arial" w:cs="Arial"/>
                <w:b w:val="0"/>
                <w:sz w:val="22"/>
                <w:szCs w:val="22"/>
              </w:rPr>
              <w:t xml:space="preserve"> Name</w:t>
            </w:r>
            <w:r>
              <w:rPr>
                <w:rFonts w:ascii="Arial" w:hAnsi="Arial" w:cs="Arial"/>
                <w:b w:val="0"/>
                <w:sz w:val="22"/>
                <w:szCs w:val="22"/>
              </w:rPr>
              <w:t>:</w:t>
            </w:r>
          </w:p>
        </w:tc>
        <w:tc>
          <w:tcPr>
            <w:tcW w:w="4253" w:type="dxa"/>
            <w:tcBorders>
              <w:top w:val="nil"/>
              <w:left w:val="nil"/>
              <w:bottom w:val="dashSmallGap" w:sz="4" w:space="0" w:color="auto"/>
              <w:right w:val="nil"/>
            </w:tcBorders>
          </w:tcPr>
          <w:p w14:paraId="5F969FDC" w14:textId="77777777" w:rsidR="00605C80" w:rsidRDefault="00605C80" w:rsidP="00C55AEA">
            <w:pPr>
              <w:pStyle w:val="mtrachead3"/>
              <w:tabs>
                <w:tab w:val="right" w:pos="360"/>
                <w:tab w:val="left" w:pos="540"/>
              </w:tabs>
              <w:spacing w:before="120" w:after="120"/>
              <w:rPr>
                <w:rFonts w:ascii="Arial" w:hAnsi="Arial" w:cs="Arial"/>
                <w:sz w:val="22"/>
                <w:szCs w:val="22"/>
              </w:rPr>
            </w:pPr>
          </w:p>
        </w:tc>
        <w:tc>
          <w:tcPr>
            <w:tcW w:w="5046" w:type="dxa"/>
            <w:gridSpan w:val="2"/>
            <w:tcBorders>
              <w:top w:val="nil"/>
              <w:left w:val="nil"/>
              <w:bottom w:val="nil"/>
              <w:right w:val="single" w:sz="4" w:space="0" w:color="auto"/>
            </w:tcBorders>
          </w:tcPr>
          <w:p w14:paraId="307F96C9" w14:textId="77777777" w:rsidR="00605C80" w:rsidRDefault="00605C80" w:rsidP="00C55AEA">
            <w:pPr>
              <w:pStyle w:val="mtrachead3"/>
              <w:tabs>
                <w:tab w:val="right" w:pos="360"/>
                <w:tab w:val="left" w:pos="540"/>
              </w:tabs>
              <w:spacing w:before="120" w:after="120"/>
              <w:rPr>
                <w:rFonts w:ascii="Arial" w:hAnsi="Arial" w:cs="Arial"/>
                <w:sz w:val="22"/>
                <w:szCs w:val="22"/>
              </w:rPr>
            </w:pPr>
          </w:p>
        </w:tc>
      </w:tr>
      <w:tr w:rsidR="00AC5A78" w14:paraId="39A64376" w14:textId="77777777" w:rsidTr="00605C80">
        <w:tc>
          <w:tcPr>
            <w:tcW w:w="1384" w:type="dxa"/>
            <w:tcBorders>
              <w:right w:val="nil"/>
            </w:tcBorders>
          </w:tcPr>
          <w:p w14:paraId="08BE7C08" w14:textId="77777777" w:rsidR="00AC5A78" w:rsidRPr="00AC5A78" w:rsidRDefault="00AC5A78" w:rsidP="00605C80">
            <w:pPr>
              <w:pStyle w:val="mtrachead3"/>
              <w:tabs>
                <w:tab w:val="right" w:pos="360"/>
                <w:tab w:val="left" w:pos="540"/>
              </w:tabs>
              <w:spacing w:before="320" w:after="120"/>
              <w:rPr>
                <w:rFonts w:ascii="Arial" w:hAnsi="Arial" w:cs="Arial"/>
                <w:b w:val="0"/>
                <w:sz w:val="22"/>
                <w:szCs w:val="22"/>
              </w:rPr>
            </w:pPr>
            <w:r w:rsidRPr="003355B9">
              <w:rPr>
                <w:rFonts w:ascii="Arial" w:hAnsi="Arial" w:cs="Arial"/>
                <w:b w:val="0"/>
                <w:sz w:val="22"/>
                <w:szCs w:val="22"/>
              </w:rPr>
              <w:t>Signature</w:t>
            </w:r>
            <w:r>
              <w:rPr>
                <w:rFonts w:ascii="Arial" w:hAnsi="Arial" w:cs="Arial"/>
                <w:b w:val="0"/>
                <w:sz w:val="22"/>
                <w:szCs w:val="22"/>
              </w:rPr>
              <w:t>:</w:t>
            </w:r>
            <w:r w:rsidRPr="003355B9">
              <w:rPr>
                <w:rFonts w:ascii="Arial" w:hAnsi="Arial" w:cs="Arial"/>
                <w:b w:val="0"/>
                <w:sz w:val="22"/>
                <w:szCs w:val="22"/>
              </w:rPr>
              <w:t xml:space="preserve"> </w:t>
            </w:r>
          </w:p>
        </w:tc>
        <w:tc>
          <w:tcPr>
            <w:tcW w:w="4253" w:type="dxa"/>
            <w:tcBorders>
              <w:top w:val="dashSmallGap" w:sz="4" w:space="0" w:color="auto"/>
              <w:left w:val="nil"/>
              <w:bottom w:val="dashSmallGap" w:sz="4" w:space="0" w:color="auto"/>
              <w:right w:val="nil"/>
            </w:tcBorders>
          </w:tcPr>
          <w:p w14:paraId="0EA8F0E3" w14:textId="77777777" w:rsidR="00AC5A78" w:rsidRDefault="00AC5A78" w:rsidP="00605C80">
            <w:pPr>
              <w:pStyle w:val="mtrachead3"/>
              <w:tabs>
                <w:tab w:val="right" w:pos="360"/>
                <w:tab w:val="left" w:pos="540"/>
              </w:tabs>
              <w:spacing w:before="320" w:after="120"/>
              <w:rPr>
                <w:rFonts w:ascii="Arial" w:hAnsi="Arial" w:cs="Arial"/>
                <w:sz w:val="22"/>
                <w:szCs w:val="22"/>
              </w:rPr>
            </w:pPr>
          </w:p>
        </w:tc>
        <w:tc>
          <w:tcPr>
            <w:tcW w:w="992" w:type="dxa"/>
            <w:tcBorders>
              <w:top w:val="nil"/>
              <w:left w:val="nil"/>
              <w:bottom w:val="nil"/>
              <w:right w:val="nil"/>
            </w:tcBorders>
          </w:tcPr>
          <w:p w14:paraId="022DEDDD" w14:textId="77777777" w:rsidR="00AC5A78" w:rsidRPr="00AC5A78" w:rsidRDefault="00AC5A78" w:rsidP="00605C80">
            <w:pPr>
              <w:pStyle w:val="mtrachead3"/>
              <w:tabs>
                <w:tab w:val="right" w:pos="360"/>
                <w:tab w:val="left" w:pos="540"/>
              </w:tabs>
              <w:spacing w:before="320" w:after="120"/>
              <w:rPr>
                <w:rFonts w:ascii="Arial" w:hAnsi="Arial" w:cs="Arial"/>
                <w:b w:val="0"/>
                <w:sz w:val="22"/>
                <w:szCs w:val="22"/>
              </w:rPr>
            </w:pPr>
            <w:r w:rsidRPr="003355B9">
              <w:rPr>
                <w:rFonts w:ascii="Arial" w:hAnsi="Arial" w:cs="Arial"/>
                <w:b w:val="0"/>
                <w:sz w:val="22"/>
                <w:szCs w:val="22"/>
              </w:rPr>
              <w:t>Date</w:t>
            </w:r>
            <w:r>
              <w:rPr>
                <w:rFonts w:ascii="Arial" w:hAnsi="Arial" w:cs="Arial"/>
                <w:b w:val="0"/>
                <w:sz w:val="22"/>
                <w:szCs w:val="22"/>
              </w:rPr>
              <w:t>:</w:t>
            </w:r>
          </w:p>
        </w:tc>
        <w:tc>
          <w:tcPr>
            <w:tcW w:w="4054" w:type="dxa"/>
            <w:tcBorders>
              <w:top w:val="nil"/>
              <w:left w:val="nil"/>
              <w:bottom w:val="dashSmallGap" w:sz="4" w:space="0" w:color="auto"/>
              <w:right w:val="single" w:sz="4" w:space="0" w:color="auto"/>
            </w:tcBorders>
          </w:tcPr>
          <w:p w14:paraId="370AF002" w14:textId="77777777" w:rsidR="00AC5A78" w:rsidRDefault="00AC5A78" w:rsidP="00605C80">
            <w:pPr>
              <w:pStyle w:val="mtrachead3"/>
              <w:tabs>
                <w:tab w:val="right" w:pos="360"/>
                <w:tab w:val="left" w:pos="540"/>
              </w:tabs>
              <w:spacing w:before="320" w:after="120"/>
              <w:rPr>
                <w:rFonts w:ascii="Arial" w:hAnsi="Arial" w:cs="Arial"/>
                <w:sz w:val="22"/>
                <w:szCs w:val="22"/>
              </w:rPr>
            </w:pPr>
          </w:p>
        </w:tc>
      </w:tr>
      <w:tr w:rsidR="002F1B08" w14:paraId="04FE4D2A" w14:textId="77777777" w:rsidTr="00230394">
        <w:trPr>
          <w:trHeight w:val="121"/>
        </w:trPr>
        <w:tc>
          <w:tcPr>
            <w:tcW w:w="10683" w:type="dxa"/>
            <w:gridSpan w:val="4"/>
            <w:tcBorders>
              <w:right w:val="single" w:sz="4" w:space="0" w:color="auto"/>
            </w:tcBorders>
          </w:tcPr>
          <w:p w14:paraId="3A76E254" w14:textId="77777777" w:rsidR="00375C2E" w:rsidRPr="00375C2E" w:rsidRDefault="00375C2E" w:rsidP="00375C2E">
            <w:pPr>
              <w:pStyle w:val="mtrachead3"/>
              <w:tabs>
                <w:tab w:val="right" w:pos="360"/>
                <w:tab w:val="left" w:pos="540"/>
              </w:tabs>
              <w:spacing w:before="120" w:after="120"/>
              <w:rPr>
                <w:rFonts w:ascii="Arial" w:hAnsi="Arial" w:cs="Arial"/>
                <w:b w:val="0"/>
                <w:sz w:val="22"/>
                <w:szCs w:val="22"/>
              </w:rPr>
            </w:pPr>
            <w:r w:rsidRPr="00375C2E">
              <w:rPr>
                <w:rFonts w:ascii="Arial" w:hAnsi="Arial" w:cs="Arial"/>
                <w:b w:val="0"/>
                <w:sz w:val="22"/>
                <w:szCs w:val="22"/>
              </w:rPr>
              <w:t>Once signed please detach this sheet and fax to the number shown above.</w:t>
            </w:r>
          </w:p>
          <w:p w14:paraId="7DD58FE5" w14:textId="77777777" w:rsidR="002F1B08" w:rsidRDefault="00375C2E" w:rsidP="00375C2E">
            <w:pPr>
              <w:pStyle w:val="mtrachead3"/>
              <w:tabs>
                <w:tab w:val="right" w:pos="360"/>
                <w:tab w:val="left" w:pos="540"/>
              </w:tabs>
              <w:spacing w:before="120" w:after="120"/>
              <w:rPr>
                <w:rFonts w:ascii="Arial" w:hAnsi="Arial" w:cs="Arial"/>
                <w:sz w:val="22"/>
                <w:szCs w:val="22"/>
              </w:rPr>
            </w:pPr>
            <w:r w:rsidRPr="00375C2E">
              <w:rPr>
                <w:rFonts w:ascii="Arial" w:hAnsi="Arial" w:cs="Arial"/>
                <w:b w:val="0"/>
                <w:sz w:val="22"/>
                <w:szCs w:val="22"/>
              </w:rPr>
              <w:t>File copy in patient’s record and add read code 66S2 or XaK6z depending on GP clinical system.</w:t>
            </w:r>
          </w:p>
        </w:tc>
      </w:tr>
    </w:tbl>
    <w:p w14:paraId="2AE2F93C" w14:textId="77777777" w:rsidR="007D4C13" w:rsidRDefault="007D4C13" w:rsidP="003355B9">
      <w:pPr>
        <w:pStyle w:val="mtrachead3"/>
        <w:tabs>
          <w:tab w:val="right" w:pos="360"/>
          <w:tab w:val="left" w:pos="540"/>
        </w:tabs>
        <w:rPr>
          <w:rFonts w:ascii="Arial" w:hAnsi="Arial" w:cs="Arial"/>
          <w:sz w:val="22"/>
          <w:szCs w:val="22"/>
        </w:rPr>
      </w:pPr>
    </w:p>
    <w:p w14:paraId="60803661" w14:textId="77777777" w:rsidR="007D4C13" w:rsidRDefault="007D4C13" w:rsidP="003355B9">
      <w:pPr>
        <w:pStyle w:val="mtrachead3"/>
        <w:keepNext w:val="0"/>
        <w:outlineLvl w:val="9"/>
        <w:rPr>
          <w:rFonts w:ascii="Arial" w:hAnsi="Arial" w:cs="Arial"/>
          <w:snapToGrid/>
          <w:sz w:val="22"/>
          <w:szCs w:val="22"/>
        </w:rPr>
      </w:pPr>
      <w:r w:rsidRPr="003355B9">
        <w:rPr>
          <w:rFonts w:ascii="Arial" w:hAnsi="Arial" w:cs="Arial"/>
          <w:snapToGrid/>
          <w:sz w:val="22"/>
          <w:szCs w:val="22"/>
        </w:rPr>
        <w:t>BACK-UP ADVICE AND SUPPORT</w:t>
      </w:r>
    </w:p>
    <w:tbl>
      <w:tblPr>
        <w:tblW w:w="1080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9"/>
        <w:gridCol w:w="1949"/>
        <w:gridCol w:w="1051"/>
        <w:gridCol w:w="1649"/>
        <w:gridCol w:w="2550"/>
      </w:tblGrid>
      <w:tr w:rsidR="00640B94" w14:paraId="4040C608" w14:textId="77777777" w:rsidTr="00FA2CC1">
        <w:trPr>
          <w:cantSplit/>
          <w:trHeight w:val="331"/>
        </w:trPr>
        <w:tc>
          <w:tcPr>
            <w:tcW w:w="3609" w:type="dxa"/>
            <w:vAlign w:val="center"/>
          </w:tcPr>
          <w:p w14:paraId="31B3214C" w14:textId="77777777" w:rsidR="00640B94" w:rsidRDefault="00640B94" w:rsidP="00640B94">
            <w:pPr>
              <w:spacing w:before="60" w:after="60"/>
              <w:jc w:val="both"/>
              <w:rPr>
                <w:rFonts w:ascii="Arial" w:hAnsi="Arial"/>
                <w:sz w:val="18"/>
              </w:rPr>
            </w:pPr>
            <w:r>
              <w:rPr>
                <w:rFonts w:ascii="Arial" w:hAnsi="Arial"/>
                <w:sz w:val="18"/>
              </w:rPr>
              <w:t>Contact details</w:t>
            </w:r>
          </w:p>
        </w:tc>
        <w:tc>
          <w:tcPr>
            <w:tcW w:w="1949" w:type="dxa"/>
            <w:vAlign w:val="center"/>
          </w:tcPr>
          <w:p w14:paraId="40113654" w14:textId="77777777" w:rsidR="00640B94" w:rsidRDefault="00640B94" w:rsidP="00640B94">
            <w:pPr>
              <w:spacing w:before="60" w:after="60"/>
              <w:jc w:val="both"/>
              <w:rPr>
                <w:rFonts w:ascii="Arial" w:hAnsi="Arial"/>
                <w:sz w:val="18"/>
              </w:rPr>
            </w:pPr>
            <w:r>
              <w:rPr>
                <w:rFonts w:ascii="Arial" w:hAnsi="Arial"/>
                <w:sz w:val="18"/>
              </w:rPr>
              <w:t>Telephone No.</w:t>
            </w:r>
          </w:p>
        </w:tc>
        <w:tc>
          <w:tcPr>
            <w:tcW w:w="1051" w:type="dxa"/>
            <w:vAlign w:val="center"/>
          </w:tcPr>
          <w:p w14:paraId="6F5E068F" w14:textId="77777777" w:rsidR="00640B94" w:rsidRDefault="00640B94" w:rsidP="00640B94">
            <w:pPr>
              <w:spacing w:before="60" w:after="60"/>
              <w:jc w:val="both"/>
              <w:rPr>
                <w:rFonts w:ascii="Arial" w:hAnsi="Arial"/>
                <w:sz w:val="18"/>
              </w:rPr>
            </w:pPr>
            <w:r>
              <w:rPr>
                <w:rFonts w:ascii="Arial" w:hAnsi="Arial"/>
                <w:sz w:val="18"/>
              </w:rPr>
              <w:t>Bleep</w:t>
            </w:r>
            <w:smartTag w:uri="urn:schemas-microsoft-com:office:smarttags" w:element="PersonName">
              <w:r>
                <w:rPr>
                  <w:rFonts w:ascii="Arial" w:hAnsi="Arial"/>
                  <w:sz w:val="18"/>
                </w:rPr>
                <w:t>:</w:t>
              </w:r>
            </w:smartTag>
          </w:p>
        </w:tc>
        <w:tc>
          <w:tcPr>
            <w:tcW w:w="1649" w:type="dxa"/>
            <w:vAlign w:val="center"/>
          </w:tcPr>
          <w:p w14:paraId="052E982F" w14:textId="77777777" w:rsidR="00640B94" w:rsidRDefault="00640B94" w:rsidP="00640B94">
            <w:pPr>
              <w:spacing w:before="60" w:after="60"/>
              <w:jc w:val="both"/>
              <w:rPr>
                <w:rFonts w:ascii="Arial" w:hAnsi="Arial"/>
                <w:sz w:val="18"/>
              </w:rPr>
            </w:pPr>
            <w:r>
              <w:rPr>
                <w:rFonts w:ascii="Arial" w:hAnsi="Arial"/>
                <w:sz w:val="18"/>
              </w:rPr>
              <w:t>Fax</w:t>
            </w:r>
            <w:smartTag w:uri="urn:schemas-microsoft-com:office:smarttags" w:element="PersonName">
              <w:r>
                <w:rPr>
                  <w:rFonts w:ascii="Arial" w:hAnsi="Arial"/>
                  <w:sz w:val="18"/>
                </w:rPr>
                <w:t>:</w:t>
              </w:r>
            </w:smartTag>
          </w:p>
        </w:tc>
        <w:tc>
          <w:tcPr>
            <w:tcW w:w="2550" w:type="dxa"/>
            <w:vAlign w:val="center"/>
          </w:tcPr>
          <w:p w14:paraId="6790FCD8" w14:textId="77777777" w:rsidR="00640B94" w:rsidRDefault="00640B94" w:rsidP="00640B94">
            <w:pPr>
              <w:spacing w:before="60" w:after="60"/>
              <w:jc w:val="both"/>
              <w:rPr>
                <w:rFonts w:ascii="Arial" w:hAnsi="Arial"/>
                <w:sz w:val="18"/>
              </w:rPr>
            </w:pPr>
            <w:r>
              <w:rPr>
                <w:rFonts w:ascii="Arial" w:hAnsi="Arial"/>
                <w:sz w:val="18"/>
              </w:rPr>
              <w:t>Email address</w:t>
            </w:r>
            <w:smartTag w:uri="urn:schemas-microsoft-com:office:smarttags" w:element="PersonName">
              <w:r>
                <w:rPr>
                  <w:rFonts w:ascii="Arial" w:hAnsi="Arial"/>
                  <w:sz w:val="18"/>
                </w:rPr>
                <w:t>:</w:t>
              </w:r>
            </w:smartTag>
          </w:p>
        </w:tc>
      </w:tr>
      <w:tr w:rsidR="00640B94" w14:paraId="054A05E7" w14:textId="77777777" w:rsidTr="00FA2CC1">
        <w:trPr>
          <w:cantSplit/>
          <w:trHeight w:val="835"/>
        </w:trPr>
        <w:tc>
          <w:tcPr>
            <w:tcW w:w="3609" w:type="dxa"/>
            <w:vAlign w:val="center"/>
          </w:tcPr>
          <w:p w14:paraId="0FF9F966" w14:textId="77777777" w:rsidR="00640B94" w:rsidRDefault="00640B94" w:rsidP="00640B94">
            <w:pPr>
              <w:pStyle w:val="mtrachead3"/>
              <w:keepNext w:val="0"/>
              <w:spacing w:before="60" w:after="60"/>
              <w:jc w:val="both"/>
              <w:rPr>
                <w:rFonts w:ascii="Arial" w:hAnsi="Arial"/>
                <w:sz w:val="18"/>
              </w:rPr>
            </w:pPr>
            <w:r>
              <w:rPr>
                <w:rFonts w:ascii="Arial" w:hAnsi="Arial"/>
                <w:sz w:val="18"/>
              </w:rPr>
              <w:t>Specialist</w:t>
            </w:r>
            <w:smartTag w:uri="urn:schemas-microsoft-com:office:smarttags" w:element="PersonName">
              <w:r>
                <w:rPr>
                  <w:rFonts w:ascii="Arial" w:hAnsi="Arial"/>
                  <w:sz w:val="18"/>
                </w:rPr>
                <w:t>:</w:t>
              </w:r>
            </w:smartTag>
            <w:r>
              <w:rPr>
                <w:rFonts w:ascii="Arial" w:hAnsi="Arial"/>
                <w:sz w:val="18"/>
              </w:rPr>
              <w:t xml:space="preserve"> Dr Sanjiv Petkar</w:t>
            </w:r>
          </w:p>
          <w:p w14:paraId="03E18564" w14:textId="77777777" w:rsidR="00640B94" w:rsidRPr="00CB3E5E" w:rsidRDefault="00640B94" w:rsidP="00640B94">
            <w:pPr>
              <w:pStyle w:val="mtrachead3"/>
              <w:keepNext w:val="0"/>
              <w:spacing w:before="60" w:after="60"/>
              <w:jc w:val="both"/>
              <w:rPr>
                <w:rFonts w:ascii="Arial" w:hAnsi="Arial"/>
                <w:b w:val="0"/>
                <w:sz w:val="18"/>
              </w:rPr>
            </w:pPr>
            <w:r>
              <w:rPr>
                <w:rFonts w:ascii="Arial" w:hAnsi="Arial"/>
                <w:b w:val="0"/>
                <w:sz w:val="18"/>
              </w:rPr>
              <w:t>(Consultant Cardiologist/Electrophysiologist)</w:t>
            </w:r>
          </w:p>
        </w:tc>
        <w:tc>
          <w:tcPr>
            <w:tcW w:w="1949" w:type="dxa"/>
            <w:vAlign w:val="center"/>
          </w:tcPr>
          <w:p w14:paraId="7DC6FDCE" w14:textId="77777777" w:rsidR="00640B94" w:rsidRPr="00CB3E5E" w:rsidRDefault="00640B94" w:rsidP="00640B94">
            <w:pPr>
              <w:spacing w:after="120"/>
              <w:rPr>
                <w:rFonts w:ascii="Arial" w:hAnsi="Arial" w:cs="Arial"/>
                <w:sz w:val="18"/>
                <w:szCs w:val="18"/>
              </w:rPr>
            </w:pPr>
            <w:r w:rsidRPr="00CB3E5E">
              <w:rPr>
                <w:rFonts w:ascii="Arial" w:hAnsi="Arial" w:cs="Arial"/>
                <w:sz w:val="18"/>
                <w:szCs w:val="18"/>
                <w:lang w:val="en-US"/>
              </w:rPr>
              <w:t>01902 694203 (sec), 01902 307999 Ext</w:t>
            </w:r>
            <w:smartTag w:uri="urn:schemas-microsoft-com:office:smarttags" w:element="PersonName">
              <w:r w:rsidRPr="00CB3E5E">
                <w:rPr>
                  <w:rFonts w:ascii="Arial" w:hAnsi="Arial" w:cs="Arial"/>
                  <w:sz w:val="18"/>
                  <w:szCs w:val="18"/>
                  <w:lang w:val="en-US"/>
                </w:rPr>
                <w:t>:</w:t>
              </w:r>
            </w:smartTag>
            <w:r w:rsidRPr="00CB3E5E">
              <w:rPr>
                <w:rFonts w:ascii="Arial" w:hAnsi="Arial" w:cs="Arial"/>
                <w:sz w:val="18"/>
                <w:szCs w:val="18"/>
                <w:lang w:val="en-US"/>
              </w:rPr>
              <w:t xml:space="preserve"> 6667</w:t>
            </w:r>
          </w:p>
        </w:tc>
        <w:tc>
          <w:tcPr>
            <w:tcW w:w="1051" w:type="dxa"/>
            <w:vAlign w:val="center"/>
          </w:tcPr>
          <w:p w14:paraId="5603B5AE" w14:textId="77777777" w:rsidR="00640B94" w:rsidRDefault="00640B94" w:rsidP="00640B94">
            <w:pPr>
              <w:spacing w:after="120"/>
              <w:jc w:val="both"/>
              <w:rPr>
                <w:rFonts w:ascii="Arial" w:hAnsi="Arial"/>
                <w:sz w:val="18"/>
              </w:rPr>
            </w:pPr>
          </w:p>
        </w:tc>
        <w:tc>
          <w:tcPr>
            <w:tcW w:w="1649" w:type="dxa"/>
            <w:vAlign w:val="center"/>
          </w:tcPr>
          <w:p w14:paraId="675DB923" w14:textId="77777777" w:rsidR="00640B94" w:rsidRDefault="00640B94" w:rsidP="00640B94">
            <w:pPr>
              <w:spacing w:after="120"/>
              <w:jc w:val="both"/>
              <w:rPr>
                <w:rFonts w:ascii="Arial" w:hAnsi="Arial"/>
                <w:sz w:val="18"/>
              </w:rPr>
            </w:pPr>
            <w:r>
              <w:rPr>
                <w:rFonts w:ascii="Arial" w:hAnsi="Arial"/>
                <w:sz w:val="18"/>
              </w:rPr>
              <w:t>01902 695646</w:t>
            </w:r>
          </w:p>
        </w:tc>
        <w:tc>
          <w:tcPr>
            <w:tcW w:w="2550" w:type="dxa"/>
            <w:vAlign w:val="center"/>
          </w:tcPr>
          <w:p w14:paraId="11946742" w14:textId="77777777" w:rsidR="00640B94" w:rsidRDefault="00640B94" w:rsidP="00640B94">
            <w:pPr>
              <w:spacing w:after="120"/>
              <w:jc w:val="both"/>
              <w:rPr>
                <w:rFonts w:ascii="Arial" w:hAnsi="Arial"/>
                <w:sz w:val="18"/>
              </w:rPr>
            </w:pPr>
            <w:r>
              <w:rPr>
                <w:rFonts w:ascii="Arial" w:hAnsi="Arial"/>
                <w:sz w:val="18"/>
              </w:rPr>
              <w:t>sanjiv.petkar@nhs.net</w:t>
            </w:r>
          </w:p>
        </w:tc>
      </w:tr>
      <w:tr w:rsidR="00640B94" w14:paraId="6A953F62" w14:textId="77777777" w:rsidTr="00FA2CC1">
        <w:trPr>
          <w:cantSplit/>
          <w:trHeight w:val="614"/>
        </w:trPr>
        <w:tc>
          <w:tcPr>
            <w:tcW w:w="3609" w:type="dxa"/>
            <w:vAlign w:val="center"/>
          </w:tcPr>
          <w:p w14:paraId="03D127DE" w14:textId="77777777" w:rsidR="00640B94" w:rsidRDefault="00640B94" w:rsidP="00640B94">
            <w:pPr>
              <w:pStyle w:val="mtrachead3"/>
              <w:keepNext w:val="0"/>
              <w:spacing w:before="60" w:after="60"/>
              <w:jc w:val="both"/>
              <w:rPr>
                <w:rFonts w:ascii="Arial" w:hAnsi="Arial"/>
                <w:b w:val="0"/>
                <w:sz w:val="18"/>
              </w:rPr>
            </w:pPr>
            <w:r>
              <w:rPr>
                <w:rFonts w:ascii="Arial" w:hAnsi="Arial"/>
                <w:sz w:val="18"/>
              </w:rPr>
              <w:t>Specialist</w:t>
            </w:r>
            <w:smartTag w:uri="urn:schemas-microsoft-com:office:smarttags" w:element="PersonName">
              <w:r>
                <w:rPr>
                  <w:rFonts w:ascii="Arial" w:hAnsi="Arial"/>
                  <w:sz w:val="18"/>
                </w:rPr>
                <w:t>:</w:t>
              </w:r>
            </w:smartTag>
            <w:r>
              <w:rPr>
                <w:rFonts w:ascii="Arial" w:hAnsi="Arial"/>
                <w:sz w:val="18"/>
              </w:rPr>
              <w:t xml:space="preserve">  </w:t>
            </w:r>
            <w:r>
              <w:rPr>
                <w:rFonts w:ascii="Arial" w:hAnsi="Arial"/>
                <w:b w:val="0"/>
                <w:sz w:val="18"/>
              </w:rPr>
              <w:t>Andrew Lapper</w:t>
            </w:r>
          </w:p>
          <w:p w14:paraId="09F324ED" w14:textId="77777777" w:rsidR="00640B94" w:rsidRPr="00CB3E5E" w:rsidRDefault="00640B94" w:rsidP="00640B94">
            <w:pPr>
              <w:pStyle w:val="mtrachead3"/>
              <w:keepNext w:val="0"/>
              <w:spacing w:before="60" w:after="60"/>
              <w:jc w:val="both"/>
              <w:rPr>
                <w:rFonts w:ascii="Arial" w:hAnsi="Arial"/>
                <w:b w:val="0"/>
                <w:sz w:val="18"/>
              </w:rPr>
            </w:pPr>
            <w:r>
              <w:rPr>
                <w:rFonts w:ascii="Arial" w:hAnsi="Arial"/>
                <w:b w:val="0"/>
                <w:sz w:val="18"/>
              </w:rPr>
              <w:t>(Arrhythmia Nurse Specialist)</w:t>
            </w:r>
          </w:p>
        </w:tc>
        <w:tc>
          <w:tcPr>
            <w:tcW w:w="1949" w:type="dxa"/>
            <w:vAlign w:val="center"/>
          </w:tcPr>
          <w:p w14:paraId="4FDC5131" w14:textId="77777777" w:rsidR="00640B94" w:rsidRDefault="00640B94" w:rsidP="00640B94">
            <w:pPr>
              <w:spacing w:after="120"/>
              <w:jc w:val="both"/>
              <w:rPr>
                <w:rFonts w:ascii="Arial" w:hAnsi="Arial"/>
                <w:sz w:val="18"/>
              </w:rPr>
            </w:pPr>
            <w:r>
              <w:rPr>
                <w:rFonts w:ascii="Arial" w:hAnsi="Arial"/>
                <w:sz w:val="18"/>
              </w:rPr>
              <w:t>01902 694271</w:t>
            </w:r>
          </w:p>
        </w:tc>
        <w:tc>
          <w:tcPr>
            <w:tcW w:w="1051" w:type="dxa"/>
            <w:vAlign w:val="center"/>
          </w:tcPr>
          <w:p w14:paraId="5223AE60" w14:textId="77777777" w:rsidR="00640B94" w:rsidRDefault="00640B94" w:rsidP="00640B94">
            <w:pPr>
              <w:spacing w:after="120"/>
              <w:jc w:val="both"/>
              <w:rPr>
                <w:rFonts w:ascii="Arial" w:hAnsi="Arial"/>
                <w:sz w:val="18"/>
              </w:rPr>
            </w:pPr>
            <w:r>
              <w:rPr>
                <w:rFonts w:ascii="Arial" w:hAnsi="Arial"/>
                <w:sz w:val="18"/>
              </w:rPr>
              <w:t>7811</w:t>
            </w:r>
          </w:p>
        </w:tc>
        <w:tc>
          <w:tcPr>
            <w:tcW w:w="1649" w:type="dxa"/>
            <w:vAlign w:val="center"/>
          </w:tcPr>
          <w:p w14:paraId="3DE57018" w14:textId="77777777" w:rsidR="00640B94" w:rsidRDefault="00640B94" w:rsidP="00640B94">
            <w:pPr>
              <w:spacing w:after="120"/>
              <w:jc w:val="both"/>
              <w:rPr>
                <w:rFonts w:ascii="Arial" w:hAnsi="Arial"/>
                <w:sz w:val="18"/>
              </w:rPr>
            </w:pPr>
          </w:p>
        </w:tc>
        <w:tc>
          <w:tcPr>
            <w:tcW w:w="2550" w:type="dxa"/>
            <w:vAlign w:val="center"/>
          </w:tcPr>
          <w:p w14:paraId="260A0CAE" w14:textId="77777777" w:rsidR="00640B94" w:rsidRDefault="00640B94" w:rsidP="00640B94">
            <w:pPr>
              <w:spacing w:after="120"/>
              <w:jc w:val="both"/>
              <w:rPr>
                <w:rFonts w:ascii="Arial" w:hAnsi="Arial"/>
                <w:sz w:val="18"/>
              </w:rPr>
            </w:pPr>
            <w:r>
              <w:rPr>
                <w:rFonts w:ascii="Arial" w:hAnsi="Arial"/>
                <w:sz w:val="18"/>
              </w:rPr>
              <w:t>andrew.lapper@nhs.net</w:t>
            </w:r>
          </w:p>
        </w:tc>
      </w:tr>
      <w:tr w:rsidR="00640B94" w14:paraId="75A05B97" w14:textId="77777777" w:rsidTr="00FA2CC1">
        <w:trPr>
          <w:cantSplit/>
          <w:trHeight w:val="504"/>
        </w:trPr>
        <w:tc>
          <w:tcPr>
            <w:tcW w:w="3609" w:type="dxa"/>
            <w:vAlign w:val="center"/>
          </w:tcPr>
          <w:p w14:paraId="7AAD7A13" w14:textId="77777777" w:rsidR="00640B94" w:rsidRDefault="00640B94" w:rsidP="00640B94">
            <w:pPr>
              <w:spacing w:before="60" w:after="60"/>
              <w:jc w:val="both"/>
              <w:rPr>
                <w:rFonts w:ascii="Arial" w:hAnsi="Arial"/>
                <w:sz w:val="18"/>
              </w:rPr>
            </w:pPr>
            <w:r>
              <w:rPr>
                <w:rFonts w:ascii="Arial" w:hAnsi="Arial"/>
                <w:b/>
                <w:sz w:val="18"/>
              </w:rPr>
              <w:t xml:space="preserve">Hospital Pharmacy Dept: </w:t>
            </w:r>
          </w:p>
        </w:tc>
        <w:tc>
          <w:tcPr>
            <w:tcW w:w="1949" w:type="dxa"/>
            <w:vAlign w:val="center"/>
          </w:tcPr>
          <w:p w14:paraId="6C31252F" w14:textId="77777777" w:rsidR="00640B94" w:rsidRDefault="00640B94" w:rsidP="00640B94">
            <w:pPr>
              <w:spacing w:after="120"/>
              <w:jc w:val="both"/>
              <w:rPr>
                <w:rFonts w:ascii="Arial" w:hAnsi="Arial"/>
                <w:sz w:val="18"/>
              </w:rPr>
            </w:pPr>
            <w:r>
              <w:rPr>
                <w:rFonts w:ascii="Arial" w:hAnsi="Arial"/>
                <w:sz w:val="18"/>
              </w:rPr>
              <w:t>01902 695133</w:t>
            </w:r>
          </w:p>
        </w:tc>
        <w:tc>
          <w:tcPr>
            <w:tcW w:w="1051" w:type="dxa"/>
            <w:vAlign w:val="center"/>
          </w:tcPr>
          <w:p w14:paraId="346C66B3" w14:textId="77777777" w:rsidR="00640B94" w:rsidRDefault="00640B94" w:rsidP="00640B94">
            <w:pPr>
              <w:spacing w:after="120"/>
              <w:jc w:val="both"/>
              <w:rPr>
                <w:rFonts w:ascii="Arial" w:hAnsi="Arial"/>
                <w:sz w:val="18"/>
              </w:rPr>
            </w:pPr>
          </w:p>
          <w:p w14:paraId="3DACA6C9" w14:textId="77777777" w:rsidR="00640B94" w:rsidRDefault="00640B94" w:rsidP="00640B94">
            <w:pPr>
              <w:spacing w:after="120"/>
              <w:jc w:val="both"/>
              <w:rPr>
                <w:rFonts w:ascii="Arial" w:hAnsi="Arial"/>
                <w:sz w:val="18"/>
              </w:rPr>
            </w:pPr>
          </w:p>
        </w:tc>
        <w:tc>
          <w:tcPr>
            <w:tcW w:w="1649" w:type="dxa"/>
            <w:vAlign w:val="center"/>
          </w:tcPr>
          <w:p w14:paraId="23874AFB" w14:textId="77777777" w:rsidR="00640B94" w:rsidRDefault="00640B94" w:rsidP="00640B94">
            <w:pPr>
              <w:spacing w:after="120"/>
              <w:jc w:val="both"/>
              <w:rPr>
                <w:rFonts w:ascii="Arial" w:hAnsi="Arial"/>
                <w:sz w:val="18"/>
              </w:rPr>
            </w:pPr>
          </w:p>
        </w:tc>
        <w:tc>
          <w:tcPr>
            <w:tcW w:w="2550" w:type="dxa"/>
            <w:vAlign w:val="center"/>
          </w:tcPr>
          <w:p w14:paraId="1854507C" w14:textId="77777777" w:rsidR="00640B94" w:rsidRDefault="00640B94" w:rsidP="00640B94">
            <w:pPr>
              <w:spacing w:after="120"/>
              <w:jc w:val="both"/>
              <w:rPr>
                <w:rFonts w:ascii="Arial" w:hAnsi="Arial"/>
                <w:sz w:val="18"/>
              </w:rPr>
            </w:pPr>
          </w:p>
        </w:tc>
      </w:tr>
      <w:tr w:rsidR="00640B94" w14:paraId="0251BF28" w14:textId="77777777" w:rsidTr="00FA2CC1">
        <w:trPr>
          <w:cantSplit/>
          <w:trHeight w:val="346"/>
        </w:trPr>
        <w:tc>
          <w:tcPr>
            <w:tcW w:w="3609" w:type="dxa"/>
            <w:vAlign w:val="center"/>
          </w:tcPr>
          <w:p w14:paraId="23E6B90D" w14:textId="77777777" w:rsidR="00640B94" w:rsidRDefault="00640B94" w:rsidP="00640B94">
            <w:pPr>
              <w:spacing w:before="60" w:after="60"/>
              <w:jc w:val="both"/>
              <w:rPr>
                <w:rFonts w:ascii="Arial" w:hAnsi="Arial"/>
                <w:sz w:val="18"/>
              </w:rPr>
            </w:pPr>
            <w:r>
              <w:rPr>
                <w:rFonts w:ascii="Arial" w:hAnsi="Arial"/>
                <w:b/>
                <w:sz w:val="18"/>
              </w:rPr>
              <w:t xml:space="preserve">Other: </w:t>
            </w:r>
            <w:r>
              <w:rPr>
                <w:rFonts w:ascii="Arial" w:hAnsi="Arial"/>
                <w:sz w:val="18"/>
              </w:rPr>
              <w:t>Cardiac Pharmacist</w:t>
            </w:r>
          </w:p>
          <w:p w14:paraId="6555F1AD" w14:textId="77777777" w:rsidR="00640B94" w:rsidRPr="003A5FE7" w:rsidRDefault="00640B94" w:rsidP="00640B94">
            <w:pPr>
              <w:spacing w:before="60" w:after="60"/>
              <w:jc w:val="both"/>
              <w:rPr>
                <w:rFonts w:ascii="Arial" w:hAnsi="Arial"/>
                <w:sz w:val="18"/>
              </w:rPr>
            </w:pPr>
            <w:r>
              <w:rPr>
                <w:rFonts w:ascii="Arial" w:hAnsi="Arial"/>
                <w:sz w:val="18"/>
              </w:rPr>
              <w:t>(Nazish Khan)</w:t>
            </w:r>
          </w:p>
        </w:tc>
        <w:tc>
          <w:tcPr>
            <w:tcW w:w="1949" w:type="dxa"/>
            <w:vAlign w:val="center"/>
          </w:tcPr>
          <w:p w14:paraId="2D255E67" w14:textId="77777777" w:rsidR="00640B94" w:rsidRDefault="00640B94" w:rsidP="00640B94">
            <w:pPr>
              <w:spacing w:after="120"/>
              <w:jc w:val="both"/>
              <w:rPr>
                <w:rFonts w:ascii="Arial" w:hAnsi="Arial"/>
                <w:sz w:val="18"/>
              </w:rPr>
            </w:pPr>
            <w:r>
              <w:rPr>
                <w:rFonts w:ascii="Arial" w:hAnsi="Arial"/>
                <w:sz w:val="18"/>
              </w:rPr>
              <w:t>01902 307999</w:t>
            </w:r>
          </w:p>
        </w:tc>
        <w:tc>
          <w:tcPr>
            <w:tcW w:w="1051" w:type="dxa"/>
            <w:vAlign w:val="center"/>
          </w:tcPr>
          <w:p w14:paraId="0DA3661E" w14:textId="77777777" w:rsidR="00640B94" w:rsidRDefault="00640B94" w:rsidP="00640B94">
            <w:pPr>
              <w:spacing w:after="120"/>
              <w:jc w:val="both"/>
              <w:rPr>
                <w:rFonts w:ascii="Arial" w:hAnsi="Arial"/>
                <w:sz w:val="18"/>
              </w:rPr>
            </w:pPr>
            <w:r>
              <w:rPr>
                <w:rFonts w:ascii="Arial" w:hAnsi="Arial"/>
                <w:sz w:val="18"/>
              </w:rPr>
              <w:t>7822</w:t>
            </w:r>
          </w:p>
        </w:tc>
        <w:tc>
          <w:tcPr>
            <w:tcW w:w="1649" w:type="dxa"/>
            <w:vAlign w:val="center"/>
          </w:tcPr>
          <w:p w14:paraId="5091586D" w14:textId="77777777" w:rsidR="00640B94" w:rsidRDefault="00640B94" w:rsidP="00640B94">
            <w:pPr>
              <w:spacing w:after="120"/>
              <w:jc w:val="both"/>
              <w:rPr>
                <w:rFonts w:ascii="Arial" w:hAnsi="Arial"/>
                <w:sz w:val="18"/>
              </w:rPr>
            </w:pPr>
          </w:p>
        </w:tc>
        <w:tc>
          <w:tcPr>
            <w:tcW w:w="2550" w:type="dxa"/>
            <w:vAlign w:val="center"/>
          </w:tcPr>
          <w:p w14:paraId="72FA2B08" w14:textId="77777777" w:rsidR="00640B94" w:rsidRDefault="00640B94" w:rsidP="00640B94">
            <w:pPr>
              <w:spacing w:after="120"/>
              <w:jc w:val="both"/>
              <w:rPr>
                <w:rFonts w:ascii="Arial" w:hAnsi="Arial"/>
                <w:sz w:val="18"/>
              </w:rPr>
            </w:pPr>
            <w:r>
              <w:rPr>
                <w:rFonts w:ascii="Arial" w:hAnsi="Arial"/>
                <w:sz w:val="18"/>
              </w:rPr>
              <w:t>nazish.khan@nhs.net</w:t>
            </w:r>
          </w:p>
        </w:tc>
      </w:tr>
    </w:tbl>
    <w:p w14:paraId="151F0EB7" w14:textId="77777777" w:rsidR="00FA2CC1" w:rsidRDefault="00FA2CC1" w:rsidP="00891143">
      <w:pPr>
        <w:rPr>
          <w:rFonts w:ascii="Arial" w:hAnsi="Arial" w:cs="Arial"/>
        </w:rPr>
      </w:pPr>
    </w:p>
    <w:p w14:paraId="63844A43" w14:textId="77777777" w:rsidR="00BC4A4D" w:rsidRPr="00FA2CC1" w:rsidRDefault="00BC4A4D" w:rsidP="00891143">
      <w:pPr>
        <w:rPr>
          <w:rFonts w:ascii="Arial" w:hAnsi="Arial" w:cs="Arial"/>
          <w:b/>
        </w:rPr>
      </w:pPr>
      <w:r w:rsidRPr="00FA2CC1">
        <w:rPr>
          <w:rFonts w:ascii="Arial" w:hAnsi="Arial" w:cs="Arial"/>
          <w:b/>
        </w:rPr>
        <w:t xml:space="preserve">Patient’s Name: </w:t>
      </w:r>
      <w:r w:rsidRPr="00FA2CC1">
        <w:rPr>
          <w:rFonts w:ascii="Arial" w:hAnsi="Arial" w:cs="Arial"/>
          <w:b/>
          <w:u w:val="single"/>
        </w:rPr>
        <w:tab/>
      </w:r>
      <w:r w:rsidRPr="00FA2CC1">
        <w:rPr>
          <w:rFonts w:ascii="Arial" w:hAnsi="Arial" w:cs="Arial"/>
          <w:b/>
          <w:u w:val="single"/>
        </w:rPr>
        <w:tab/>
      </w:r>
      <w:r w:rsidRPr="00FA2CC1">
        <w:rPr>
          <w:rFonts w:ascii="Arial" w:hAnsi="Arial" w:cs="Arial"/>
          <w:b/>
          <w:u w:val="single"/>
        </w:rPr>
        <w:tab/>
      </w:r>
      <w:r w:rsidRPr="00FA2CC1">
        <w:rPr>
          <w:rFonts w:ascii="Arial" w:hAnsi="Arial" w:cs="Arial"/>
          <w:b/>
          <w:u w:val="single"/>
        </w:rPr>
        <w:tab/>
        <w:t xml:space="preserve"> </w:t>
      </w:r>
      <w:r w:rsidRPr="00FA2CC1">
        <w:rPr>
          <w:rFonts w:ascii="Arial" w:hAnsi="Arial" w:cs="Arial"/>
          <w:b/>
        </w:rPr>
        <w:tab/>
        <w:t>Date treatment commenced:</w:t>
      </w:r>
      <w:r w:rsidR="003355B9" w:rsidRPr="00FA2CC1">
        <w:rPr>
          <w:rFonts w:ascii="Arial" w:hAnsi="Arial" w:cs="Arial"/>
          <w:b/>
        </w:rPr>
        <w:t xml:space="preserve"> </w:t>
      </w:r>
      <w:r w:rsidRPr="00FA2CC1">
        <w:rPr>
          <w:rFonts w:ascii="Arial" w:hAnsi="Arial" w:cs="Arial"/>
          <w:b/>
          <w:u w:val="single"/>
        </w:rPr>
        <w:tab/>
      </w:r>
      <w:r w:rsidRPr="00FA2CC1">
        <w:rPr>
          <w:rFonts w:ascii="Arial" w:hAnsi="Arial" w:cs="Arial"/>
          <w:b/>
          <w:u w:val="single"/>
        </w:rPr>
        <w:tab/>
      </w:r>
    </w:p>
    <w:p w14:paraId="6521DDA1" w14:textId="77777777" w:rsidR="00BC4A4D" w:rsidRPr="00454E36" w:rsidRDefault="00BC4A4D" w:rsidP="003355B9">
      <w:pPr>
        <w:pStyle w:val="mtrachead3"/>
        <w:tabs>
          <w:tab w:val="right" w:pos="360"/>
          <w:tab w:val="left" w:pos="540"/>
        </w:tabs>
        <w:rPr>
          <w:rFonts w:ascii="Arial" w:hAnsi="Arial" w:cs="Arial"/>
        </w:rPr>
      </w:pPr>
    </w:p>
    <w:p w14:paraId="5F405BE7" w14:textId="77777777" w:rsidR="00BC4A4D" w:rsidRPr="00454E36" w:rsidRDefault="00BC4A4D" w:rsidP="003355B9">
      <w:pPr>
        <w:pStyle w:val="mtrachead3"/>
        <w:tabs>
          <w:tab w:val="right" w:pos="360"/>
          <w:tab w:val="left" w:pos="540"/>
        </w:tabs>
        <w:rPr>
          <w:rFonts w:ascii="Arial" w:hAnsi="Arial" w:cs="Arial"/>
        </w:rPr>
      </w:pPr>
      <w:r w:rsidRPr="00454E36">
        <w:rPr>
          <w:rFonts w:ascii="Arial" w:hAnsi="Arial" w:cs="Arial"/>
        </w:rPr>
        <w:t>AREAS OF RESPONSIBILITY FOR THE SHARING OF CARE</w:t>
      </w:r>
    </w:p>
    <w:p w14:paraId="431294C5" w14:textId="77777777" w:rsidR="00BC4A4D" w:rsidRPr="00454E36" w:rsidRDefault="00BC4A4D" w:rsidP="003355B9">
      <w:pPr>
        <w:tabs>
          <w:tab w:val="left" w:pos="540"/>
        </w:tabs>
        <w:jc w:val="both"/>
        <w:rPr>
          <w:rFonts w:ascii="Arial" w:hAnsi="Arial" w:cs="Arial"/>
          <w:b/>
          <w:snapToGrid w:val="0"/>
        </w:rPr>
      </w:pPr>
      <w:r w:rsidRPr="00454E36">
        <w:rPr>
          <w:rFonts w:ascii="Arial" w:hAnsi="Arial" w:cs="Arial"/>
        </w:rPr>
        <w:t xml:space="preserve">This shared care agreement outlines suggested ways in which the responsibilities for managing the prescribing of </w:t>
      </w:r>
      <w:r w:rsidR="00C23082">
        <w:rPr>
          <w:rFonts w:ascii="Arial" w:hAnsi="Arial" w:cs="Arial"/>
        </w:rPr>
        <w:t>dronedarone</w:t>
      </w:r>
      <w:r w:rsidRPr="00454E36">
        <w:rPr>
          <w:rFonts w:ascii="Arial" w:hAnsi="Arial" w:cs="Arial"/>
        </w:rPr>
        <w:t xml:space="preserve"> can be shared between the specialist and general practitioner (GP).  GPs are </w:t>
      </w:r>
      <w:r w:rsidRPr="00454E36">
        <w:rPr>
          <w:rFonts w:ascii="Arial" w:hAnsi="Arial" w:cs="Arial"/>
          <w:b/>
        </w:rPr>
        <w:t>invited</w:t>
      </w:r>
      <w:r w:rsidRPr="00454E36">
        <w:rPr>
          <w:rFonts w:ascii="Arial" w:hAnsi="Arial" w:cs="Arial"/>
        </w:rPr>
        <w:t xml:space="preserve"> to participate.  If GPs are not confident to undertake these roles, then they are under no obligation to do so.  In such an event, the total clinical responsibility for the patient for the diagnosed condition remains with the specialist.  </w:t>
      </w:r>
      <w:r w:rsidRPr="00454E36">
        <w:rPr>
          <w:rFonts w:ascii="Arial" w:hAnsi="Arial" w:cs="Arial"/>
          <w:b/>
        </w:rPr>
        <w:t xml:space="preserve">If a specialist asks the GP to prescribe this drug, the GP </w:t>
      </w:r>
      <w:r w:rsidRPr="00454E36">
        <w:rPr>
          <w:rFonts w:ascii="Arial" w:hAnsi="Arial" w:cs="Arial"/>
          <w:b/>
          <w:snapToGrid w:val="0"/>
        </w:rPr>
        <w:t>should reply to this request as soon as practicable.</w:t>
      </w:r>
    </w:p>
    <w:p w14:paraId="3AE219F7" w14:textId="77777777" w:rsidR="00BC4A4D" w:rsidRPr="00454E36" w:rsidRDefault="00BC4A4D" w:rsidP="003355B9">
      <w:pPr>
        <w:pStyle w:val="mtrachead6"/>
        <w:tabs>
          <w:tab w:val="right" w:pos="360"/>
          <w:tab w:val="left" w:pos="540"/>
        </w:tabs>
        <w:jc w:val="both"/>
        <w:rPr>
          <w:rFonts w:ascii="Arial" w:hAnsi="Arial" w:cs="Arial"/>
          <w:i w:val="0"/>
        </w:rPr>
      </w:pPr>
    </w:p>
    <w:p w14:paraId="0F0AEEC0" w14:textId="77777777" w:rsidR="00BC4A4D" w:rsidRPr="00454E36" w:rsidRDefault="00BC4A4D" w:rsidP="003355B9">
      <w:pPr>
        <w:tabs>
          <w:tab w:val="right" w:pos="360"/>
          <w:tab w:val="left" w:pos="540"/>
        </w:tabs>
        <w:jc w:val="both"/>
        <w:rPr>
          <w:rFonts w:ascii="Arial" w:hAnsi="Arial" w:cs="Arial"/>
          <w:snapToGrid w:val="0"/>
        </w:rPr>
      </w:pPr>
      <w:r w:rsidRPr="00454E36">
        <w:rPr>
          <w:rFonts w:ascii="Arial" w:hAnsi="Arial" w:cs="Arial"/>
          <w:snapToGrid w:val="0"/>
        </w:rPr>
        <w:t xml:space="preserve">Sharing of care assumes communication between the specialist, GP and patient.  The intention to share care should be explained to the patient by the doctor initiating treatment.  It is important that patients are consulted about treatment and are in agreement with it.  </w:t>
      </w:r>
    </w:p>
    <w:p w14:paraId="3176034F" w14:textId="77777777" w:rsidR="00640B94" w:rsidRDefault="00640B94" w:rsidP="00640B94">
      <w:pPr>
        <w:pStyle w:val="Default"/>
        <w:rPr>
          <w:color w:val="4F81BD"/>
          <w:sz w:val="18"/>
          <w:szCs w:val="18"/>
        </w:rPr>
      </w:pPr>
    </w:p>
    <w:p w14:paraId="1769B316" w14:textId="77777777" w:rsidR="00640B94" w:rsidRPr="00D46324" w:rsidRDefault="00640B94" w:rsidP="00640B94">
      <w:pPr>
        <w:pStyle w:val="Default"/>
        <w:rPr>
          <w:color w:val="auto"/>
          <w:sz w:val="20"/>
          <w:szCs w:val="20"/>
        </w:rPr>
      </w:pPr>
      <w:r w:rsidRPr="00D46324">
        <w:rPr>
          <w:color w:val="auto"/>
          <w:sz w:val="20"/>
          <w:szCs w:val="20"/>
        </w:rPr>
        <w:t>Prescribing will be undertaken only by Consultant Cardiologists and Arrhythmia Nurse Specialist or only following consultation with these two groups to ensure appropriateness of use.</w:t>
      </w:r>
    </w:p>
    <w:p w14:paraId="4D080E1C" w14:textId="77777777" w:rsidR="00BC4A4D" w:rsidRPr="00454E36" w:rsidRDefault="00BC4A4D" w:rsidP="003355B9">
      <w:pPr>
        <w:tabs>
          <w:tab w:val="right" w:pos="360"/>
          <w:tab w:val="left" w:pos="540"/>
        </w:tabs>
        <w:jc w:val="both"/>
        <w:rPr>
          <w:rFonts w:ascii="Arial" w:hAnsi="Arial" w:cs="Arial"/>
          <w:snapToGrid w:val="0"/>
        </w:rPr>
      </w:pPr>
    </w:p>
    <w:p w14:paraId="49122E13" w14:textId="77777777" w:rsidR="00BC4A4D" w:rsidRPr="00454E36" w:rsidRDefault="00BC4A4D" w:rsidP="003355B9">
      <w:pPr>
        <w:pStyle w:val="mtrachead3"/>
        <w:keepNext w:val="0"/>
        <w:tabs>
          <w:tab w:val="right" w:pos="360"/>
          <w:tab w:val="left" w:pos="540"/>
        </w:tabs>
        <w:jc w:val="center"/>
        <w:outlineLvl w:val="9"/>
        <w:rPr>
          <w:rFonts w:ascii="Arial" w:hAnsi="Arial" w:cs="Arial"/>
        </w:rPr>
      </w:pPr>
      <w:r w:rsidRPr="00454E36">
        <w:rPr>
          <w:rFonts w:ascii="Arial" w:hAnsi="Arial" w:cs="Arial"/>
        </w:rPr>
        <w:t>The doctor who prescribes the medication legally assumes clinical responsibility for the drug and the consequences of its use.</w:t>
      </w:r>
    </w:p>
    <w:p w14:paraId="597E69F0" w14:textId="77777777" w:rsidR="00BC4A4D" w:rsidRPr="00454E36" w:rsidRDefault="00BC4A4D" w:rsidP="003355B9">
      <w:pPr>
        <w:tabs>
          <w:tab w:val="right" w:pos="360"/>
          <w:tab w:val="left" w:pos="540"/>
        </w:tabs>
        <w:jc w:val="both"/>
        <w:rPr>
          <w:rFonts w:ascii="Arial" w:hAnsi="Arial" w:cs="Arial"/>
          <w:snapToGrid w:val="0"/>
        </w:rPr>
      </w:pPr>
    </w:p>
    <w:p w14:paraId="61B310A0" w14:textId="77777777" w:rsidR="00BC4A4D" w:rsidRDefault="00BC4A4D" w:rsidP="003355B9">
      <w:pPr>
        <w:tabs>
          <w:tab w:val="right" w:pos="360"/>
          <w:tab w:val="left" w:pos="540"/>
        </w:tabs>
        <w:jc w:val="both"/>
        <w:rPr>
          <w:rFonts w:ascii="Arial" w:hAnsi="Arial" w:cs="Arial"/>
          <w:b/>
          <w:snapToGrid w:val="0"/>
        </w:rPr>
      </w:pPr>
      <w:r w:rsidRPr="00454E36">
        <w:rPr>
          <w:rFonts w:ascii="Arial" w:hAnsi="Arial" w:cs="Arial"/>
          <w:b/>
          <w:snapToGrid w:val="0"/>
        </w:rPr>
        <w:t>RESPONSIBILITIES and ROLES</w:t>
      </w:r>
    </w:p>
    <w:p w14:paraId="2D91AE4E" w14:textId="77777777" w:rsidR="00640B94" w:rsidRDefault="00640B94" w:rsidP="003355B9">
      <w:pPr>
        <w:tabs>
          <w:tab w:val="right" w:pos="360"/>
          <w:tab w:val="left" w:pos="540"/>
        </w:tabs>
        <w:jc w:val="both"/>
        <w:rPr>
          <w:rFonts w:ascii="Arial" w:hAnsi="Arial" w:cs="Arial"/>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640B94" w14:paraId="3D79B9B8" w14:textId="77777777" w:rsidTr="00640B94">
        <w:trPr>
          <w:jc w:val="center"/>
        </w:trPr>
        <w:tc>
          <w:tcPr>
            <w:tcW w:w="10349" w:type="dxa"/>
          </w:tcPr>
          <w:p w14:paraId="48D8BA8E" w14:textId="77777777" w:rsidR="00640B94" w:rsidRDefault="00640B94" w:rsidP="00640B94">
            <w:pPr>
              <w:tabs>
                <w:tab w:val="left" w:pos="540"/>
              </w:tabs>
              <w:jc w:val="center"/>
              <w:rPr>
                <w:rFonts w:ascii="Helvetica" w:hAnsi="Helvetica"/>
                <w:b/>
                <w:snapToGrid w:val="0"/>
              </w:rPr>
            </w:pPr>
            <w:r>
              <w:rPr>
                <w:rFonts w:ascii="Helvetica" w:hAnsi="Helvetica"/>
                <w:b/>
                <w:snapToGrid w:val="0"/>
              </w:rPr>
              <w:t>Specialist responsibilities</w:t>
            </w:r>
          </w:p>
        </w:tc>
      </w:tr>
      <w:tr w:rsidR="00640B94" w14:paraId="2247A546" w14:textId="77777777" w:rsidTr="00640B94">
        <w:trPr>
          <w:trHeight w:val="240"/>
          <w:jc w:val="center"/>
        </w:trPr>
        <w:tc>
          <w:tcPr>
            <w:tcW w:w="10349" w:type="dxa"/>
            <w:tcBorders>
              <w:top w:val="nil"/>
              <w:bottom w:val="nil"/>
            </w:tcBorders>
          </w:tcPr>
          <w:p w14:paraId="01D6A369" w14:textId="77777777" w:rsidR="00640B94" w:rsidRDefault="00640B94" w:rsidP="00640B94">
            <w:pPr>
              <w:numPr>
                <w:ilvl w:val="0"/>
                <w:numId w:val="22"/>
              </w:numPr>
              <w:tabs>
                <w:tab w:val="left" w:pos="540"/>
              </w:tabs>
              <w:rPr>
                <w:rFonts w:ascii="Helvetica" w:hAnsi="Helvetica"/>
                <w:snapToGrid w:val="0"/>
              </w:rPr>
            </w:pPr>
            <w:r>
              <w:rPr>
                <w:rFonts w:ascii="Helvetica" w:hAnsi="Helvetica"/>
                <w:snapToGrid w:val="0"/>
              </w:rPr>
              <w:t>Clarify place of drug in patients current therapy</w:t>
            </w:r>
          </w:p>
        </w:tc>
      </w:tr>
      <w:tr w:rsidR="00640B94" w14:paraId="0CE1895B" w14:textId="77777777" w:rsidTr="00640B94">
        <w:trPr>
          <w:trHeight w:val="240"/>
          <w:jc w:val="center"/>
        </w:trPr>
        <w:tc>
          <w:tcPr>
            <w:tcW w:w="10349" w:type="dxa"/>
            <w:tcBorders>
              <w:top w:val="nil"/>
              <w:bottom w:val="nil"/>
            </w:tcBorders>
          </w:tcPr>
          <w:p w14:paraId="319C35C4" w14:textId="77777777" w:rsidR="00640B94" w:rsidRDefault="00640B94" w:rsidP="00640B94">
            <w:pPr>
              <w:numPr>
                <w:ilvl w:val="0"/>
                <w:numId w:val="22"/>
              </w:numPr>
              <w:tabs>
                <w:tab w:val="left" w:pos="540"/>
              </w:tabs>
              <w:rPr>
                <w:rFonts w:ascii="Helvetica" w:hAnsi="Helvetica"/>
                <w:snapToGrid w:val="0"/>
              </w:rPr>
            </w:pPr>
            <w:r>
              <w:rPr>
                <w:rFonts w:ascii="Helvetica" w:hAnsi="Helvetica"/>
                <w:snapToGrid w:val="0"/>
              </w:rPr>
              <w:t xml:space="preserve">Review the patient's condition and monitor response to treatment regularly </w:t>
            </w:r>
            <w:r w:rsidRPr="005C6485">
              <w:rPr>
                <w:rFonts w:ascii="Helvetica" w:hAnsi="Helvetica"/>
                <w:snapToGrid w:val="0"/>
              </w:rPr>
              <w:t>as outlined in the monitoring requirements below.</w:t>
            </w:r>
          </w:p>
          <w:p w14:paraId="50C767AF" w14:textId="77777777" w:rsidR="00640B94" w:rsidRDefault="00640B94" w:rsidP="00640B94">
            <w:pPr>
              <w:numPr>
                <w:ilvl w:val="0"/>
                <w:numId w:val="22"/>
              </w:numPr>
              <w:tabs>
                <w:tab w:val="left" w:pos="540"/>
              </w:tabs>
              <w:rPr>
                <w:rFonts w:ascii="Helvetica" w:hAnsi="Helvetica"/>
                <w:snapToGrid w:val="0"/>
              </w:rPr>
            </w:pPr>
            <w:r>
              <w:rPr>
                <w:rFonts w:ascii="Helvetica" w:hAnsi="Helvetica"/>
                <w:snapToGrid w:val="0"/>
              </w:rPr>
              <w:t>Undertake cardiac, hepatic and renal monitoring.  To report any change in the clinical condition of the patient to the GP and provide advice regarding continuation/discontinuation of Dronedarone.</w:t>
            </w:r>
          </w:p>
        </w:tc>
      </w:tr>
      <w:tr w:rsidR="00640B94" w14:paraId="34737423" w14:textId="77777777" w:rsidTr="00640B94">
        <w:trPr>
          <w:trHeight w:val="240"/>
          <w:jc w:val="center"/>
        </w:trPr>
        <w:tc>
          <w:tcPr>
            <w:tcW w:w="10349" w:type="dxa"/>
            <w:tcBorders>
              <w:top w:val="nil"/>
              <w:bottom w:val="nil"/>
            </w:tcBorders>
          </w:tcPr>
          <w:p w14:paraId="435F274C" w14:textId="77777777" w:rsidR="00640B94" w:rsidRDefault="00640B94" w:rsidP="00640B94">
            <w:pPr>
              <w:numPr>
                <w:ilvl w:val="0"/>
                <w:numId w:val="22"/>
              </w:numPr>
              <w:tabs>
                <w:tab w:val="left" w:pos="540"/>
              </w:tabs>
              <w:rPr>
                <w:rFonts w:ascii="Helvetica" w:hAnsi="Helvetica"/>
                <w:snapToGrid w:val="0"/>
              </w:rPr>
            </w:pPr>
            <w:r>
              <w:rPr>
                <w:rFonts w:ascii="Helvetica" w:hAnsi="Helvetica"/>
                <w:snapToGrid w:val="0"/>
              </w:rPr>
              <w:t>Outline to the GP when therapy may be stopped assuming no improvement is recognised in the patient’s condition.</w:t>
            </w:r>
          </w:p>
        </w:tc>
      </w:tr>
      <w:tr w:rsidR="00640B94" w14:paraId="1843FD1D" w14:textId="77777777" w:rsidTr="00640B94">
        <w:trPr>
          <w:trHeight w:val="240"/>
          <w:jc w:val="center"/>
        </w:trPr>
        <w:tc>
          <w:tcPr>
            <w:tcW w:w="10349" w:type="dxa"/>
            <w:tcBorders>
              <w:top w:val="nil"/>
              <w:bottom w:val="nil"/>
            </w:tcBorders>
          </w:tcPr>
          <w:p w14:paraId="4C3B4146" w14:textId="77777777" w:rsidR="00640B94" w:rsidRDefault="00640B94" w:rsidP="00640B94">
            <w:pPr>
              <w:numPr>
                <w:ilvl w:val="0"/>
                <w:numId w:val="22"/>
              </w:numPr>
              <w:tabs>
                <w:tab w:val="left" w:pos="540"/>
              </w:tabs>
              <w:rPr>
                <w:rFonts w:ascii="Helvetica" w:hAnsi="Helvetica"/>
                <w:snapToGrid w:val="0"/>
              </w:rPr>
            </w:pPr>
            <w:r>
              <w:rPr>
                <w:rFonts w:ascii="Helvetica" w:hAnsi="Helvetica"/>
                <w:snapToGrid w:val="0"/>
              </w:rPr>
              <w:t>Advise GPs of when to refer back, and when and how to stop treatment.</w:t>
            </w:r>
          </w:p>
        </w:tc>
      </w:tr>
      <w:tr w:rsidR="00640B94" w14:paraId="7B761725" w14:textId="77777777" w:rsidTr="00640B94">
        <w:trPr>
          <w:trHeight w:val="240"/>
          <w:jc w:val="center"/>
        </w:trPr>
        <w:tc>
          <w:tcPr>
            <w:tcW w:w="10349" w:type="dxa"/>
            <w:tcBorders>
              <w:top w:val="nil"/>
              <w:bottom w:val="nil"/>
            </w:tcBorders>
          </w:tcPr>
          <w:p w14:paraId="0351FD7B" w14:textId="77777777" w:rsidR="00640B94" w:rsidRDefault="00640B94" w:rsidP="00640B94">
            <w:pPr>
              <w:numPr>
                <w:ilvl w:val="0"/>
                <w:numId w:val="22"/>
              </w:numPr>
              <w:tabs>
                <w:tab w:val="left" w:pos="540"/>
              </w:tabs>
              <w:rPr>
                <w:rFonts w:ascii="Helvetica" w:hAnsi="Helvetica"/>
              </w:rPr>
            </w:pPr>
            <w:r>
              <w:rPr>
                <w:rFonts w:ascii="Helvetica" w:hAnsi="Helvetica"/>
                <w:snapToGrid w:val="0"/>
              </w:rPr>
              <w:t>Report adverse events to the CSM.</w:t>
            </w:r>
          </w:p>
        </w:tc>
      </w:tr>
      <w:tr w:rsidR="00640B94" w14:paraId="7859DAA5" w14:textId="77777777" w:rsidTr="00640B94">
        <w:trPr>
          <w:trHeight w:val="240"/>
          <w:jc w:val="center"/>
        </w:trPr>
        <w:tc>
          <w:tcPr>
            <w:tcW w:w="10349" w:type="dxa"/>
            <w:tcBorders>
              <w:top w:val="nil"/>
              <w:bottom w:val="nil"/>
            </w:tcBorders>
          </w:tcPr>
          <w:p w14:paraId="7C62E0E0" w14:textId="77777777" w:rsidR="00640B94" w:rsidRDefault="00640B94" w:rsidP="00640B94">
            <w:pPr>
              <w:numPr>
                <w:ilvl w:val="0"/>
                <w:numId w:val="22"/>
              </w:numPr>
              <w:tabs>
                <w:tab w:val="left" w:pos="540"/>
              </w:tabs>
              <w:rPr>
                <w:rFonts w:ascii="Helvetica" w:hAnsi="Helvetica"/>
              </w:rPr>
            </w:pPr>
            <w:r>
              <w:rPr>
                <w:rFonts w:ascii="Helvetica" w:hAnsi="Helvetica"/>
                <w:snapToGrid w:val="0"/>
              </w:rPr>
              <w:t>Ensure clear backup arrangements exist for GPs,</w:t>
            </w:r>
            <w:r>
              <w:rPr>
                <w:rFonts w:ascii="Helvetica" w:hAnsi="Helvetica"/>
              </w:rPr>
              <w:t xml:space="preserve"> for advice and support</w:t>
            </w:r>
            <w:r>
              <w:rPr>
                <w:rFonts w:ascii="Helvetica" w:hAnsi="Helvetica"/>
                <w:snapToGrid w:val="0"/>
              </w:rPr>
              <w:t>.</w:t>
            </w:r>
          </w:p>
        </w:tc>
      </w:tr>
      <w:tr w:rsidR="00640B94" w14:paraId="0D11CB7C" w14:textId="77777777" w:rsidTr="00640B94">
        <w:trPr>
          <w:trHeight w:val="240"/>
          <w:jc w:val="center"/>
        </w:trPr>
        <w:tc>
          <w:tcPr>
            <w:tcW w:w="10349" w:type="dxa"/>
            <w:tcBorders>
              <w:top w:val="nil"/>
            </w:tcBorders>
          </w:tcPr>
          <w:p w14:paraId="2A25F416" w14:textId="77777777" w:rsidR="00640B94" w:rsidRDefault="00640B94" w:rsidP="00640B94">
            <w:pPr>
              <w:numPr>
                <w:ilvl w:val="0"/>
                <w:numId w:val="22"/>
              </w:numPr>
              <w:tabs>
                <w:tab w:val="left" w:pos="540"/>
              </w:tabs>
              <w:rPr>
                <w:rFonts w:ascii="Helvetica" w:hAnsi="Helvetica"/>
                <w:snapToGrid w:val="0"/>
              </w:rPr>
            </w:pPr>
            <w:r>
              <w:rPr>
                <w:rFonts w:ascii="Helvetica" w:hAnsi="Helvetica"/>
                <w:snapToGrid w:val="0"/>
              </w:rPr>
              <w:t>Give patients the information leaflet and card for Dronedarone and discuss the interaction with grapefruit juice.</w:t>
            </w:r>
          </w:p>
        </w:tc>
      </w:tr>
      <w:tr w:rsidR="00640B94" w14:paraId="73C65FB4" w14:textId="77777777" w:rsidTr="00640B94">
        <w:trPr>
          <w:jc w:val="center"/>
        </w:trPr>
        <w:tc>
          <w:tcPr>
            <w:tcW w:w="10349" w:type="dxa"/>
          </w:tcPr>
          <w:p w14:paraId="7EB7FF34" w14:textId="77777777" w:rsidR="00640B94" w:rsidRDefault="00640B94" w:rsidP="00640B94">
            <w:pPr>
              <w:tabs>
                <w:tab w:val="left" w:pos="540"/>
              </w:tabs>
              <w:jc w:val="center"/>
              <w:rPr>
                <w:rFonts w:ascii="Helvetica" w:hAnsi="Helvetica"/>
                <w:b/>
                <w:snapToGrid w:val="0"/>
              </w:rPr>
            </w:pPr>
            <w:r>
              <w:rPr>
                <w:rFonts w:ascii="Helvetica" w:hAnsi="Helvetica"/>
                <w:b/>
              </w:rPr>
              <w:t>General Practitioner r</w:t>
            </w:r>
            <w:r>
              <w:rPr>
                <w:rFonts w:ascii="Helvetica" w:hAnsi="Helvetica"/>
                <w:b/>
                <w:snapToGrid w:val="0"/>
              </w:rPr>
              <w:t>esponsibilities</w:t>
            </w:r>
          </w:p>
        </w:tc>
      </w:tr>
      <w:tr w:rsidR="00640B94" w14:paraId="5CD6A59D" w14:textId="77777777" w:rsidTr="00640B94">
        <w:trPr>
          <w:trHeight w:val="240"/>
          <w:jc w:val="center"/>
        </w:trPr>
        <w:tc>
          <w:tcPr>
            <w:tcW w:w="10349" w:type="dxa"/>
            <w:tcBorders>
              <w:top w:val="nil"/>
              <w:bottom w:val="nil"/>
            </w:tcBorders>
          </w:tcPr>
          <w:p w14:paraId="1C52794C" w14:textId="77777777" w:rsidR="00640B94" w:rsidRDefault="00640B94" w:rsidP="00640B94">
            <w:pPr>
              <w:numPr>
                <w:ilvl w:val="0"/>
                <w:numId w:val="23"/>
              </w:numPr>
              <w:tabs>
                <w:tab w:val="left" w:pos="540"/>
              </w:tabs>
              <w:rPr>
                <w:rFonts w:ascii="Helvetica" w:hAnsi="Helvetica"/>
                <w:snapToGrid w:val="0"/>
              </w:rPr>
            </w:pPr>
            <w:r>
              <w:rPr>
                <w:rFonts w:ascii="Helvetica" w:hAnsi="Helvetica"/>
                <w:snapToGrid w:val="0"/>
              </w:rPr>
              <w:t>Reply to request to participate in shared care arrangement as soon as practicable.</w:t>
            </w:r>
          </w:p>
          <w:p w14:paraId="23042AA8" w14:textId="77777777" w:rsidR="00640B94" w:rsidRDefault="00640B94" w:rsidP="00640B94">
            <w:pPr>
              <w:numPr>
                <w:ilvl w:val="0"/>
                <w:numId w:val="23"/>
              </w:numPr>
              <w:tabs>
                <w:tab w:val="left" w:pos="540"/>
              </w:tabs>
              <w:rPr>
                <w:rFonts w:ascii="Helvetica" w:hAnsi="Helvetica"/>
                <w:snapToGrid w:val="0"/>
              </w:rPr>
            </w:pPr>
            <w:r>
              <w:rPr>
                <w:rFonts w:ascii="Helvetica" w:hAnsi="Helvetica"/>
                <w:snapToGrid w:val="0"/>
              </w:rPr>
              <w:t>To prescribe Dronedarone as requested by the Cardiology Consultant/Electrophysiology team</w:t>
            </w:r>
          </w:p>
          <w:p w14:paraId="71E544E5" w14:textId="77777777" w:rsidR="00640B94" w:rsidRDefault="00640B94" w:rsidP="00640B94">
            <w:pPr>
              <w:numPr>
                <w:ilvl w:val="0"/>
                <w:numId w:val="23"/>
              </w:numPr>
              <w:tabs>
                <w:tab w:val="left" w:pos="540"/>
              </w:tabs>
              <w:rPr>
                <w:rFonts w:ascii="Helvetica" w:hAnsi="Helvetica"/>
                <w:snapToGrid w:val="0"/>
              </w:rPr>
            </w:pPr>
            <w:r>
              <w:rPr>
                <w:rFonts w:ascii="Helvetica" w:hAnsi="Helvetica"/>
                <w:snapToGrid w:val="0"/>
              </w:rPr>
              <w:t>Liaise with the hospital Consultant regarding any complications of treatment.</w:t>
            </w:r>
          </w:p>
          <w:p w14:paraId="03910B8B" w14:textId="77777777" w:rsidR="00640B94" w:rsidRDefault="00640B94" w:rsidP="00640B94">
            <w:pPr>
              <w:numPr>
                <w:ilvl w:val="0"/>
                <w:numId w:val="23"/>
              </w:numPr>
              <w:tabs>
                <w:tab w:val="left" w:pos="540"/>
              </w:tabs>
              <w:rPr>
                <w:rFonts w:ascii="Helvetica" w:hAnsi="Helvetica"/>
                <w:snapToGrid w:val="0"/>
              </w:rPr>
            </w:pPr>
            <w:r>
              <w:rPr>
                <w:rFonts w:ascii="Helvetica" w:hAnsi="Helvetica"/>
                <w:snapToGrid w:val="0"/>
              </w:rPr>
              <w:t xml:space="preserve">Report suspected side effects to the Consultant and </w:t>
            </w:r>
            <w:r w:rsidRPr="009567C1">
              <w:rPr>
                <w:rFonts w:ascii="Helvetica" w:hAnsi="Helvetica"/>
                <w:snapToGrid w:val="0"/>
              </w:rPr>
              <w:t>MHRA</w:t>
            </w:r>
            <w:r>
              <w:rPr>
                <w:rFonts w:ascii="Helvetica" w:hAnsi="Helvetica"/>
                <w:snapToGrid w:val="0"/>
              </w:rPr>
              <w:t>.</w:t>
            </w:r>
          </w:p>
          <w:p w14:paraId="6E747AD5" w14:textId="77777777" w:rsidR="00640B94" w:rsidRDefault="00640B94" w:rsidP="00640B94">
            <w:pPr>
              <w:numPr>
                <w:ilvl w:val="0"/>
                <w:numId w:val="23"/>
              </w:numPr>
              <w:tabs>
                <w:tab w:val="left" w:pos="540"/>
              </w:tabs>
              <w:rPr>
                <w:rFonts w:ascii="Helvetica" w:hAnsi="Helvetica"/>
                <w:snapToGrid w:val="0"/>
              </w:rPr>
            </w:pPr>
            <w:r>
              <w:rPr>
                <w:rFonts w:ascii="Helvetica" w:hAnsi="Helvetica"/>
                <w:snapToGrid w:val="0"/>
              </w:rPr>
              <w:t>Report to and seek advice from the Specialist on any aspect of patient care that is of concern to the GP and that may affect treatment.</w:t>
            </w:r>
          </w:p>
          <w:p w14:paraId="05992515" w14:textId="77777777" w:rsidR="00640B94" w:rsidRDefault="00640B94" w:rsidP="00640B94">
            <w:pPr>
              <w:numPr>
                <w:ilvl w:val="0"/>
                <w:numId w:val="23"/>
              </w:numPr>
              <w:tabs>
                <w:tab w:val="left" w:pos="540"/>
              </w:tabs>
              <w:rPr>
                <w:rFonts w:ascii="Helvetica" w:hAnsi="Helvetica"/>
                <w:snapToGrid w:val="0"/>
              </w:rPr>
            </w:pPr>
            <w:r>
              <w:rPr>
                <w:rFonts w:ascii="Helvetica" w:hAnsi="Helvetica"/>
                <w:snapToGrid w:val="0"/>
              </w:rPr>
              <w:t>Refer back to the Specialist if the patient’s condition deteriorates.</w:t>
            </w:r>
          </w:p>
          <w:p w14:paraId="5F305917" w14:textId="77777777" w:rsidR="00640B94" w:rsidRPr="009567C1" w:rsidRDefault="00640B94" w:rsidP="00640B94">
            <w:pPr>
              <w:numPr>
                <w:ilvl w:val="0"/>
                <w:numId w:val="23"/>
              </w:numPr>
              <w:tabs>
                <w:tab w:val="left" w:pos="540"/>
              </w:tabs>
              <w:rPr>
                <w:rFonts w:ascii="Helvetica" w:hAnsi="Helvetica"/>
                <w:snapToGrid w:val="0"/>
              </w:rPr>
            </w:pPr>
            <w:r>
              <w:rPr>
                <w:rFonts w:ascii="Helvetica" w:hAnsi="Helvetica"/>
                <w:snapToGrid w:val="0"/>
              </w:rPr>
              <w:t>Stop treatment if advised to do so by the Specialist.</w:t>
            </w:r>
          </w:p>
        </w:tc>
      </w:tr>
      <w:tr w:rsidR="00640B94" w14:paraId="57E36EAE" w14:textId="77777777" w:rsidTr="00640B94">
        <w:trPr>
          <w:jc w:val="center"/>
        </w:trPr>
        <w:tc>
          <w:tcPr>
            <w:tcW w:w="10349" w:type="dxa"/>
          </w:tcPr>
          <w:p w14:paraId="319C6535" w14:textId="77777777" w:rsidR="00640B94" w:rsidRDefault="00640B94" w:rsidP="00640B94">
            <w:pPr>
              <w:tabs>
                <w:tab w:val="left" w:pos="540"/>
              </w:tabs>
              <w:jc w:val="center"/>
              <w:rPr>
                <w:rFonts w:ascii="Helvetica" w:hAnsi="Helvetica"/>
                <w:b/>
                <w:snapToGrid w:val="0"/>
              </w:rPr>
            </w:pPr>
            <w:r>
              <w:rPr>
                <w:rFonts w:ascii="Helvetica" w:hAnsi="Helvetica"/>
                <w:b/>
              </w:rPr>
              <w:t>Patient's r</w:t>
            </w:r>
            <w:r>
              <w:rPr>
                <w:rFonts w:ascii="Helvetica" w:hAnsi="Helvetica"/>
                <w:b/>
                <w:snapToGrid w:val="0"/>
              </w:rPr>
              <w:t>ole</w:t>
            </w:r>
          </w:p>
        </w:tc>
      </w:tr>
      <w:tr w:rsidR="00640B94" w14:paraId="3CBAA94A" w14:textId="77777777" w:rsidTr="00640B94">
        <w:trPr>
          <w:trHeight w:val="240"/>
          <w:jc w:val="center"/>
        </w:trPr>
        <w:tc>
          <w:tcPr>
            <w:tcW w:w="10349" w:type="dxa"/>
            <w:tcBorders>
              <w:top w:val="nil"/>
              <w:bottom w:val="nil"/>
            </w:tcBorders>
          </w:tcPr>
          <w:p w14:paraId="4B19ED8A" w14:textId="77777777" w:rsidR="00640B94" w:rsidRDefault="00640B94" w:rsidP="00640B94">
            <w:pPr>
              <w:numPr>
                <w:ilvl w:val="0"/>
                <w:numId w:val="24"/>
              </w:numPr>
              <w:jc w:val="both"/>
              <w:rPr>
                <w:rFonts w:ascii="Helvetica" w:hAnsi="Helvetica"/>
              </w:rPr>
            </w:pPr>
            <w:r>
              <w:rPr>
                <w:rFonts w:ascii="Helvetica" w:hAnsi="Helvetica"/>
              </w:rPr>
              <w:t>Read the information provided and give consent for the chosen treatment.</w:t>
            </w:r>
          </w:p>
        </w:tc>
      </w:tr>
      <w:tr w:rsidR="00640B94" w14:paraId="1483AF3F" w14:textId="77777777" w:rsidTr="00640B94">
        <w:trPr>
          <w:trHeight w:val="240"/>
          <w:jc w:val="center"/>
        </w:trPr>
        <w:tc>
          <w:tcPr>
            <w:tcW w:w="10349" w:type="dxa"/>
            <w:tcBorders>
              <w:top w:val="nil"/>
              <w:bottom w:val="nil"/>
            </w:tcBorders>
          </w:tcPr>
          <w:p w14:paraId="5FFD53C6" w14:textId="77777777" w:rsidR="00640B94" w:rsidRDefault="00640B94" w:rsidP="00640B94">
            <w:pPr>
              <w:numPr>
                <w:ilvl w:val="0"/>
                <w:numId w:val="24"/>
              </w:numPr>
              <w:jc w:val="both"/>
              <w:rPr>
                <w:rFonts w:ascii="Helvetica" w:hAnsi="Helvetica"/>
              </w:rPr>
            </w:pPr>
            <w:r>
              <w:rPr>
                <w:rFonts w:ascii="Helvetica" w:hAnsi="Helvetica"/>
              </w:rPr>
              <w:t>Inform Consultant and GP of any other medication they may be taking or start taking during treatment, including over the counter medicines or herbal remedies.</w:t>
            </w:r>
          </w:p>
        </w:tc>
      </w:tr>
      <w:tr w:rsidR="00640B94" w14:paraId="1ED34AF2" w14:textId="77777777" w:rsidTr="00640B94">
        <w:trPr>
          <w:trHeight w:val="240"/>
          <w:jc w:val="center"/>
        </w:trPr>
        <w:tc>
          <w:tcPr>
            <w:tcW w:w="10349" w:type="dxa"/>
            <w:tcBorders>
              <w:top w:val="nil"/>
              <w:bottom w:val="nil"/>
            </w:tcBorders>
          </w:tcPr>
          <w:p w14:paraId="1AE6AEF9" w14:textId="77777777" w:rsidR="00640B94" w:rsidRDefault="00640B94" w:rsidP="00640B94">
            <w:pPr>
              <w:numPr>
                <w:ilvl w:val="0"/>
                <w:numId w:val="24"/>
              </w:numPr>
              <w:jc w:val="both"/>
              <w:rPr>
                <w:rFonts w:ascii="Helvetica" w:hAnsi="Helvetica"/>
              </w:rPr>
            </w:pPr>
            <w:r>
              <w:rPr>
                <w:rFonts w:ascii="Helvetica" w:hAnsi="Helvetica"/>
              </w:rPr>
              <w:t>Store and handle medication safely.</w:t>
            </w:r>
          </w:p>
        </w:tc>
      </w:tr>
      <w:tr w:rsidR="00640B94" w14:paraId="283361B5" w14:textId="77777777" w:rsidTr="00640B94">
        <w:trPr>
          <w:trHeight w:val="240"/>
          <w:jc w:val="center"/>
        </w:trPr>
        <w:tc>
          <w:tcPr>
            <w:tcW w:w="10349" w:type="dxa"/>
            <w:tcBorders>
              <w:top w:val="nil"/>
              <w:bottom w:val="nil"/>
            </w:tcBorders>
          </w:tcPr>
          <w:p w14:paraId="2AEEDA24" w14:textId="77777777" w:rsidR="00640B94" w:rsidRDefault="00640B94" w:rsidP="00640B94">
            <w:pPr>
              <w:numPr>
                <w:ilvl w:val="0"/>
                <w:numId w:val="24"/>
              </w:numPr>
              <w:jc w:val="both"/>
              <w:rPr>
                <w:rFonts w:ascii="Helvetica" w:hAnsi="Helvetica"/>
              </w:rPr>
            </w:pPr>
            <w:r>
              <w:rPr>
                <w:rFonts w:ascii="Helvetica" w:hAnsi="Helvetica"/>
              </w:rPr>
              <w:t>Report to the specialist or GP if he or she does not have a clear understanding of the treatment.</w:t>
            </w:r>
          </w:p>
        </w:tc>
      </w:tr>
      <w:tr w:rsidR="00640B94" w14:paraId="4514BC95" w14:textId="77777777" w:rsidTr="00640B94">
        <w:trPr>
          <w:trHeight w:val="240"/>
          <w:jc w:val="center"/>
        </w:trPr>
        <w:tc>
          <w:tcPr>
            <w:tcW w:w="10349" w:type="dxa"/>
            <w:tcBorders>
              <w:top w:val="nil"/>
              <w:bottom w:val="nil"/>
            </w:tcBorders>
          </w:tcPr>
          <w:p w14:paraId="5638334C" w14:textId="77777777" w:rsidR="00640B94" w:rsidRDefault="00640B94" w:rsidP="00640B94">
            <w:pPr>
              <w:numPr>
                <w:ilvl w:val="0"/>
                <w:numId w:val="24"/>
              </w:numPr>
              <w:jc w:val="both"/>
              <w:rPr>
                <w:rFonts w:ascii="Helvetica" w:hAnsi="Helvetica"/>
              </w:rPr>
            </w:pPr>
            <w:r>
              <w:rPr>
                <w:rFonts w:ascii="Helvetica" w:hAnsi="Helvetica"/>
              </w:rPr>
              <w:t>Share any concerns in relation to treatment with the Consultant/GP</w:t>
            </w:r>
          </w:p>
        </w:tc>
      </w:tr>
      <w:tr w:rsidR="00640B94" w14:paraId="7E1743A5" w14:textId="77777777" w:rsidTr="00640B94">
        <w:trPr>
          <w:trHeight w:val="240"/>
          <w:jc w:val="center"/>
        </w:trPr>
        <w:tc>
          <w:tcPr>
            <w:tcW w:w="10349" w:type="dxa"/>
            <w:tcBorders>
              <w:top w:val="nil"/>
            </w:tcBorders>
          </w:tcPr>
          <w:p w14:paraId="47936F07" w14:textId="77777777" w:rsidR="00640B94" w:rsidRDefault="00640B94" w:rsidP="00640B94">
            <w:pPr>
              <w:numPr>
                <w:ilvl w:val="0"/>
                <w:numId w:val="24"/>
              </w:numPr>
              <w:jc w:val="both"/>
              <w:rPr>
                <w:rFonts w:ascii="Helvetica" w:hAnsi="Helvetica"/>
              </w:rPr>
            </w:pPr>
            <w:r>
              <w:rPr>
                <w:rFonts w:ascii="Helvetica" w:hAnsi="Helvetica"/>
              </w:rPr>
              <w:t xml:space="preserve">Report </w:t>
            </w:r>
            <w:r w:rsidRPr="00A67E79">
              <w:rPr>
                <w:rFonts w:ascii="Helvetica" w:hAnsi="Helvetica"/>
                <w:i/>
              </w:rPr>
              <w:t>any</w:t>
            </w:r>
            <w:r>
              <w:rPr>
                <w:rFonts w:ascii="Helvetica" w:hAnsi="Helvetica"/>
              </w:rPr>
              <w:t xml:space="preserve"> adverse effects to the specialist or GP whilst taking Dronedarone</w:t>
            </w:r>
          </w:p>
        </w:tc>
      </w:tr>
    </w:tbl>
    <w:p w14:paraId="5D8B048E" w14:textId="77777777" w:rsidR="00640B94" w:rsidRDefault="00640B94" w:rsidP="003355B9">
      <w:pPr>
        <w:tabs>
          <w:tab w:val="right" w:pos="360"/>
          <w:tab w:val="left" w:pos="540"/>
        </w:tabs>
        <w:jc w:val="both"/>
        <w:rPr>
          <w:rFonts w:ascii="Arial" w:hAnsi="Arial" w:cs="Arial"/>
          <w:b/>
          <w:snapToGrid w:val="0"/>
        </w:rPr>
      </w:pPr>
    </w:p>
    <w:p w14:paraId="393A9FEA" w14:textId="77777777" w:rsidR="00C23082" w:rsidRDefault="00C23082" w:rsidP="003355B9">
      <w:pPr>
        <w:tabs>
          <w:tab w:val="right" w:pos="360"/>
          <w:tab w:val="left" w:pos="540"/>
        </w:tabs>
        <w:jc w:val="both"/>
        <w:rPr>
          <w:rFonts w:ascii="Arial" w:hAnsi="Arial" w:cs="Arial"/>
          <w:b/>
          <w:snapToGrid w:val="0"/>
        </w:rPr>
      </w:pPr>
    </w:p>
    <w:p w14:paraId="1915B62B" w14:textId="77777777" w:rsidR="00C23082" w:rsidRDefault="00C23082" w:rsidP="003355B9">
      <w:pPr>
        <w:tabs>
          <w:tab w:val="right" w:pos="360"/>
          <w:tab w:val="left" w:pos="540"/>
        </w:tabs>
        <w:jc w:val="both"/>
        <w:rPr>
          <w:rFonts w:ascii="Arial" w:hAnsi="Arial" w:cs="Arial"/>
          <w:b/>
          <w:snapToGrid w:val="0"/>
        </w:rPr>
      </w:pPr>
    </w:p>
    <w:p w14:paraId="70FA4125" w14:textId="77777777" w:rsidR="00C23082" w:rsidRDefault="00C23082" w:rsidP="003355B9">
      <w:pPr>
        <w:tabs>
          <w:tab w:val="right" w:pos="360"/>
          <w:tab w:val="left" w:pos="540"/>
        </w:tabs>
        <w:jc w:val="both"/>
        <w:rPr>
          <w:rFonts w:ascii="Arial" w:hAnsi="Arial" w:cs="Arial"/>
          <w:b/>
          <w:snapToGrid w:val="0"/>
        </w:rPr>
      </w:pPr>
    </w:p>
    <w:p w14:paraId="4BA22B1E" w14:textId="77777777" w:rsidR="00C23082" w:rsidRPr="00454E36" w:rsidRDefault="00C23082" w:rsidP="003355B9">
      <w:pPr>
        <w:tabs>
          <w:tab w:val="right" w:pos="360"/>
          <w:tab w:val="left" w:pos="540"/>
        </w:tabs>
        <w:jc w:val="both"/>
        <w:rPr>
          <w:rFonts w:ascii="Arial" w:hAnsi="Arial" w:cs="Arial"/>
          <w:b/>
          <w:snapToGrid w:val="0"/>
        </w:rPr>
      </w:pPr>
    </w:p>
    <w:tbl>
      <w:tblPr>
        <w:tblStyle w:val="TableGrid"/>
        <w:tblW w:w="0" w:type="auto"/>
        <w:tblInd w:w="108" w:type="dxa"/>
        <w:tblLook w:val="04A0" w:firstRow="1" w:lastRow="0" w:firstColumn="1" w:lastColumn="0" w:noHBand="0" w:noVBand="1"/>
      </w:tblPr>
      <w:tblGrid>
        <w:gridCol w:w="10349"/>
      </w:tblGrid>
      <w:tr w:rsidR="000A3C5F" w14:paraId="3356EDD1" w14:textId="77777777" w:rsidTr="007A53D9">
        <w:tc>
          <w:tcPr>
            <w:tcW w:w="10575" w:type="dxa"/>
            <w:vAlign w:val="center"/>
          </w:tcPr>
          <w:p w14:paraId="275CEF59" w14:textId="77777777" w:rsidR="000A3C5F" w:rsidRPr="000A3C5F" w:rsidRDefault="000A3C5F" w:rsidP="00CF7277">
            <w:pPr>
              <w:spacing w:before="60" w:after="60"/>
              <w:rPr>
                <w:rFonts w:ascii="Arial" w:hAnsi="Arial" w:cs="Arial"/>
                <w:b/>
              </w:rPr>
            </w:pPr>
            <w:r w:rsidRPr="000A3C5F">
              <w:rPr>
                <w:rFonts w:ascii="Arial" w:hAnsi="Arial" w:cs="Arial"/>
                <w:b/>
              </w:rPr>
              <w:t xml:space="preserve">SUPPORTING </w:t>
            </w:r>
            <w:r>
              <w:rPr>
                <w:rFonts w:ascii="Arial" w:hAnsi="Arial" w:cs="Arial"/>
                <w:b/>
              </w:rPr>
              <w:t xml:space="preserve">CLINICAL </w:t>
            </w:r>
            <w:r w:rsidRPr="000A3C5F">
              <w:rPr>
                <w:rFonts w:ascii="Arial" w:hAnsi="Arial" w:cs="Arial"/>
                <w:b/>
              </w:rPr>
              <w:t>INFORMATION</w:t>
            </w:r>
          </w:p>
        </w:tc>
      </w:tr>
      <w:tr w:rsidR="000A3C5F" w14:paraId="57EDA395" w14:textId="77777777" w:rsidTr="007A53D9">
        <w:tc>
          <w:tcPr>
            <w:tcW w:w="10575" w:type="dxa"/>
            <w:vAlign w:val="center"/>
          </w:tcPr>
          <w:p w14:paraId="28EE4584" w14:textId="77777777" w:rsidR="000A3C5F" w:rsidRPr="005B77D8" w:rsidRDefault="000A3C5F" w:rsidP="00CF7277">
            <w:pPr>
              <w:spacing w:before="60" w:after="60"/>
              <w:rPr>
                <w:rFonts w:ascii="Arial" w:hAnsi="Arial" w:cs="Arial"/>
                <w:b/>
              </w:rPr>
            </w:pPr>
            <w:r>
              <w:rPr>
                <w:rFonts w:ascii="Arial" w:hAnsi="Arial" w:cs="Arial"/>
                <w:b/>
              </w:rPr>
              <w:t>I</w:t>
            </w:r>
            <w:r w:rsidRPr="005B77D8">
              <w:rPr>
                <w:rFonts w:ascii="Arial" w:hAnsi="Arial" w:cs="Arial"/>
                <w:b/>
              </w:rPr>
              <w:t>ndications</w:t>
            </w:r>
          </w:p>
        </w:tc>
      </w:tr>
      <w:tr w:rsidR="000A3C5F" w14:paraId="313AD1C2" w14:textId="77777777" w:rsidTr="007A53D9">
        <w:tc>
          <w:tcPr>
            <w:tcW w:w="10575" w:type="dxa"/>
            <w:vAlign w:val="center"/>
          </w:tcPr>
          <w:p w14:paraId="52A961AC" w14:textId="77777777" w:rsidR="00640B94" w:rsidRPr="009705E7" w:rsidRDefault="00640B94" w:rsidP="00640B94">
            <w:pPr>
              <w:spacing w:before="60" w:after="60"/>
              <w:rPr>
                <w:rFonts w:ascii="Arial" w:hAnsi="Arial" w:cs="Arial"/>
              </w:rPr>
            </w:pPr>
            <w:r w:rsidRPr="009705E7">
              <w:rPr>
                <w:rFonts w:ascii="Arial" w:hAnsi="Arial" w:cs="Arial"/>
              </w:rPr>
              <w:t xml:space="preserve">Dronedarone is indicated for the treatment of adult clinically stable patients with </w:t>
            </w:r>
          </w:p>
          <w:p w14:paraId="4714D575" w14:textId="77777777" w:rsidR="00640B94" w:rsidRPr="009705E7" w:rsidRDefault="00640B94" w:rsidP="00640B94">
            <w:pPr>
              <w:spacing w:before="60" w:after="60"/>
              <w:rPr>
                <w:rFonts w:ascii="Arial" w:hAnsi="Arial" w:cs="Arial"/>
              </w:rPr>
            </w:pPr>
          </w:p>
          <w:p w14:paraId="054DB868" w14:textId="77777777" w:rsidR="00640B94" w:rsidRPr="009705E7" w:rsidRDefault="00640B94" w:rsidP="00640B94">
            <w:pPr>
              <w:numPr>
                <w:ilvl w:val="0"/>
                <w:numId w:val="40"/>
              </w:numPr>
              <w:spacing w:before="60" w:after="60"/>
              <w:rPr>
                <w:rFonts w:ascii="Arial" w:hAnsi="Arial" w:cs="Arial"/>
              </w:rPr>
            </w:pPr>
            <w:r w:rsidRPr="009705E7">
              <w:rPr>
                <w:rFonts w:ascii="Arial" w:hAnsi="Arial" w:cs="Arial"/>
              </w:rPr>
              <w:t xml:space="preserve">paroxysmal atrial fibrillation or </w:t>
            </w:r>
          </w:p>
          <w:p w14:paraId="11A82B86" w14:textId="77777777" w:rsidR="00640B94" w:rsidRPr="009705E7" w:rsidRDefault="00640B94" w:rsidP="00640B94">
            <w:pPr>
              <w:numPr>
                <w:ilvl w:val="0"/>
                <w:numId w:val="40"/>
              </w:numPr>
              <w:spacing w:before="60" w:after="60"/>
              <w:rPr>
                <w:rFonts w:ascii="Arial" w:hAnsi="Arial" w:cs="Arial"/>
              </w:rPr>
            </w:pPr>
            <w:r w:rsidRPr="009705E7">
              <w:rPr>
                <w:rFonts w:ascii="Arial" w:hAnsi="Arial" w:cs="Arial"/>
              </w:rPr>
              <w:t xml:space="preserve">persistent atrial fibrillation (AF) for the maintenance of sinus rhythm after successful cardioversion. </w:t>
            </w:r>
          </w:p>
          <w:p w14:paraId="7B9A80ED" w14:textId="77777777" w:rsidR="00640B94" w:rsidRPr="009705E7" w:rsidRDefault="00640B94" w:rsidP="00640B94">
            <w:pPr>
              <w:spacing w:before="60" w:after="60"/>
              <w:rPr>
                <w:rFonts w:ascii="Arial" w:hAnsi="Arial" w:cs="Arial"/>
              </w:rPr>
            </w:pPr>
          </w:p>
          <w:p w14:paraId="71510EB6" w14:textId="77777777" w:rsidR="00640B94" w:rsidRPr="009705E7" w:rsidRDefault="00640B94" w:rsidP="00640B94">
            <w:pPr>
              <w:spacing w:before="60" w:after="60"/>
              <w:rPr>
                <w:rFonts w:ascii="Arial" w:hAnsi="Arial" w:cs="Arial"/>
              </w:rPr>
            </w:pPr>
            <w:r w:rsidRPr="009705E7">
              <w:rPr>
                <w:rFonts w:ascii="Arial" w:hAnsi="Arial" w:cs="Arial"/>
              </w:rPr>
              <w:t xml:space="preserve">Dronedarone should not be given to patients with left ventricular systolic dysfunction or to patients with current or previous episodes of heart failure. </w:t>
            </w:r>
          </w:p>
          <w:p w14:paraId="4DAE5DD1" w14:textId="77777777" w:rsidR="009705E7" w:rsidRPr="009705E7" w:rsidRDefault="009705E7" w:rsidP="009705E7">
            <w:pPr>
              <w:rPr>
                <w:rFonts w:ascii="Arial" w:hAnsi="Arial" w:cs="Arial"/>
                <w:b/>
              </w:rPr>
            </w:pPr>
            <w:r w:rsidRPr="009705E7">
              <w:rPr>
                <w:rFonts w:ascii="Arial" w:hAnsi="Arial" w:cs="Arial"/>
                <w:b/>
              </w:rPr>
              <w:t>In this shared care agreement, Dronedarone is intended to be used in line with current recommendations and licensed indications:</w:t>
            </w:r>
          </w:p>
          <w:p w14:paraId="355204F3" w14:textId="77777777" w:rsidR="009705E7" w:rsidRPr="009705E7" w:rsidRDefault="009705E7" w:rsidP="009705E7">
            <w:pPr>
              <w:rPr>
                <w:rFonts w:ascii="Arial" w:hAnsi="Arial" w:cs="Arial"/>
                <w:b/>
              </w:rPr>
            </w:pPr>
          </w:p>
          <w:p w14:paraId="2694B8F1" w14:textId="77777777" w:rsidR="009705E7" w:rsidRPr="009705E7" w:rsidRDefault="009705E7" w:rsidP="009705E7">
            <w:pPr>
              <w:rPr>
                <w:rFonts w:ascii="Arial" w:hAnsi="Arial" w:cs="Arial"/>
              </w:rPr>
            </w:pPr>
            <w:r w:rsidRPr="009705E7">
              <w:rPr>
                <w:rFonts w:ascii="Arial" w:hAnsi="Arial" w:cs="Arial"/>
                <w:b/>
              </w:rPr>
              <w:t>(a) Licensed indication</w:t>
            </w:r>
            <w:r w:rsidRPr="009705E7">
              <w:rPr>
                <w:rFonts w:ascii="Arial" w:hAnsi="Arial" w:cs="Arial"/>
              </w:rPr>
              <w:t xml:space="preserve">: as above </w:t>
            </w:r>
          </w:p>
          <w:p w14:paraId="3287C726" w14:textId="77777777" w:rsidR="009705E7" w:rsidRPr="009705E7" w:rsidRDefault="009705E7" w:rsidP="009705E7">
            <w:pPr>
              <w:rPr>
                <w:rFonts w:ascii="Arial" w:hAnsi="Arial" w:cs="Arial"/>
                <w:b/>
              </w:rPr>
            </w:pPr>
          </w:p>
          <w:p w14:paraId="1DEFCF3A" w14:textId="77777777" w:rsidR="009705E7" w:rsidRPr="009705E7" w:rsidRDefault="009705E7" w:rsidP="009705E7">
            <w:pPr>
              <w:pStyle w:val="Default"/>
              <w:rPr>
                <w:b/>
                <w:color w:val="auto"/>
                <w:sz w:val="20"/>
                <w:szCs w:val="20"/>
              </w:rPr>
            </w:pPr>
            <w:r w:rsidRPr="009705E7">
              <w:rPr>
                <w:b/>
                <w:color w:val="auto"/>
                <w:sz w:val="20"/>
                <w:szCs w:val="20"/>
              </w:rPr>
              <w:t>(b)  European Society of Cardiology Focused Update – For the Management of Atrial Fibrillation 2012</w:t>
            </w:r>
          </w:p>
          <w:p w14:paraId="13EDB66B" w14:textId="77777777" w:rsidR="009705E7" w:rsidRPr="009705E7" w:rsidRDefault="009705E7" w:rsidP="009705E7">
            <w:pPr>
              <w:pStyle w:val="Default"/>
              <w:rPr>
                <w:b/>
                <w:color w:val="auto"/>
                <w:sz w:val="20"/>
                <w:szCs w:val="20"/>
              </w:rPr>
            </w:pPr>
          </w:p>
          <w:p w14:paraId="217BF240" w14:textId="77777777" w:rsidR="009705E7" w:rsidRPr="009705E7" w:rsidRDefault="009705E7" w:rsidP="009705E7">
            <w:pPr>
              <w:autoSpaceDE w:val="0"/>
              <w:autoSpaceDN w:val="0"/>
              <w:adjustRightInd w:val="0"/>
              <w:rPr>
                <w:rFonts w:ascii="Arial" w:hAnsi="Arial" w:cs="Arial"/>
                <w:lang w:eastAsia="en-GB"/>
              </w:rPr>
            </w:pPr>
            <w:r w:rsidRPr="009705E7">
              <w:rPr>
                <w:rFonts w:ascii="Arial" w:hAnsi="Arial" w:cs="Arial"/>
                <w:lang w:eastAsia="en-GB"/>
              </w:rPr>
              <w:t>The 2012 ESC Atrial Fibrillation Guidelines have given Dronedarone as Class IA recommendation for the restoration and maintenance of sinus rhythm following successful cardioversion.  The ESC states that:</w:t>
            </w:r>
          </w:p>
          <w:p w14:paraId="2B0950C0" w14:textId="77777777" w:rsidR="009705E7" w:rsidRPr="009705E7" w:rsidRDefault="009705E7" w:rsidP="009705E7">
            <w:pPr>
              <w:pStyle w:val="ListParagraph"/>
              <w:numPr>
                <w:ilvl w:val="0"/>
                <w:numId w:val="41"/>
              </w:numPr>
              <w:autoSpaceDE w:val="0"/>
              <w:autoSpaceDN w:val="0"/>
              <w:adjustRightInd w:val="0"/>
              <w:rPr>
                <w:rFonts w:ascii="Arial" w:hAnsi="Arial" w:cs="Arial"/>
                <w:lang w:eastAsia="en-GB"/>
              </w:rPr>
            </w:pPr>
            <w:r w:rsidRPr="009705E7">
              <w:rPr>
                <w:rFonts w:ascii="Arial" w:hAnsi="Arial" w:cs="Arial"/>
                <w:lang w:eastAsia="en-GB"/>
              </w:rPr>
              <w:t>Dronedarone is appropriate for maintaining sinus rhythm in patients with paroxysmal or persistent AF.</w:t>
            </w:r>
          </w:p>
          <w:p w14:paraId="1F6BA4E0" w14:textId="77777777" w:rsidR="009705E7" w:rsidRPr="009705E7" w:rsidRDefault="009705E7" w:rsidP="009705E7">
            <w:pPr>
              <w:pStyle w:val="ListParagraph"/>
              <w:numPr>
                <w:ilvl w:val="0"/>
                <w:numId w:val="41"/>
              </w:numPr>
              <w:autoSpaceDE w:val="0"/>
              <w:autoSpaceDN w:val="0"/>
              <w:adjustRightInd w:val="0"/>
              <w:rPr>
                <w:rFonts w:ascii="Arial" w:hAnsi="Arial" w:cs="Arial"/>
                <w:lang w:eastAsia="en-GB"/>
              </w:rPr>
            </w:pPr>
            <w:r w:rsidRPr="009705E7">
              <w:rPr>
                <w:rFonts w:ascii="Arial" w:hAnsi="Arial" w:cs="Arial"/>
                <w:lang w:eastAsia="en-GB"/>
              </w:rPr>
              <w:t>Dronedarone should not be given to patients with moderate or severe heart failure, and should be avoided in patients with  less-severe heart failure, if appropriate alternatives exist.</w:t>
            </w:r>
          </w:p>
          <w:p w14:paraId="7FA0F804" w14:textId="77777777" w:rsidR="009705E7" w:rsidRPr="009705E7" w:rsidRDefault="009705E7" w:rsidP="009705E7">
            <w:pPr>
              <w:rPr>
                <w:rFonts w:ascii="Arial" w:hAnsi="Arial" w:cs="Arial"/>
                <w:b/>
              </w:rPr>
            </w:pPr>
          </w:p>
          <w:p w14:paraId="5D57BF11" w14:textId="77777777" w:rsidR="009705E7" w:rsidRPr="009705E7" w:rsidRDefault="009705E7" w:rsidP="009705E7">
            <w:pPr>
              <w:rPr>
                <w:rFonts w:ascii="Arial" w:hAnsi="Arial" w:cs="Arial"/>
                <w:b/>
              </w:rPr>
            </w:pPr>
            <w:r w:rsidRPr="009705E7">
              <w:rPr>
                <w:rFonts w:ascii="Arial" w:hAnsi="Arial" w:cs="Arial"/>
                <w:b/>
              </w:rPr>
              <w:t>(c) NICE Technology Appraisal 197 – October 2010</w:t>
            </w:r>
          </w:p>
          <w:p w14:paraId="0A49D4B5" w14:textId="77777777" w:rsidR="009705E7" w:rsidRPr="009705E7" w:rsidRDefault="009705E7" w:rsidP="009705E7">
            <w:pPr>
              <w:rPr>
                <w:rFonts w:ascii="Arial" w:hAnsi="Arial" w:cs="Arial"/>
              </w:rPr>
            </w:pPr>
          </w:p>
          <w:p w14:paraId="4D71DBF3" w14:textId="77777777" w:rsidR="009705E7" w:rsidRPr="009705E7" w:rsidRDefault="009705E7" w:rsidP="009705E7">
            <w:pPr>
              <w:rPr>
                <w:rFonts w:ascii="Arial" w:hAnsi="Arial" w:cs="Arial"/>
              </w:rPr>
            </w:pPr>
            <w:r w:rsidRPr="009705E7">
              <w:rPr>
                <w:rFonts w:ascii="Arial" w:hAnsi="Arial" w:cs="Arial"/>
              </w:rPr>
              <w:t xml:space="preserve">The licensing indications have been revised since the original recommendation by NICE following the publication of more scientific data. This drug is not suitable for patients with left ventricular systolic dysfunction or with current or previous episodes of heart failure.  </w:t>
            </w:r>
          </w:p>
          <w:p w14:paraId="240FDBF6" w14:textId="77777777" w:rsidR="009705E7" w:rsidRPr="009705E7" w:rsidRDefault="009705E7" w:rsidP="009705E7">
            <w:pPr>
              <w:rPr>
                <w:rFonts w:ascii="Arial" w:hAnsi="Arial" w:cs="Arial"/>
                <w:b/>
              </w:rPr>
            </w:pPr>
          </w:p>
          <w:p w14:paraId="0F762850" w14:textId="77777777" w:rsidR="009705E7" w:rsidRPr="009705E7" w:rsidRDefault="009705E7" w:rsidP="009705E7">
            <w:pPr>
              <w:rPr>
                <w:rFonts w:ascii="Arial" w:hAnsi="Arial" w:cs="Arial"/>
              </w:rPr>
            </w:pPr>
            <w:r w:rsidRPr="009705E7">
              <w:rPr>
                <w:rFonts w:ascii="Arial" w:hAnsi="Arial" w:cs="Arial"/>
              </w:rPr>
              <w:t xml:space="preserve">For the record the original recommendation of NICE was as follows: </w:t>
            </w:r>
          </w:p>
          <w:p w14:paraId="42F54487" w14:textId="77777777" w:rsidR="009705E7" w:rsidRPr="009705E7" w:rsidRDefault="009705E7" w:rsidP="009705E7">
            <w:pPr>
              <w:rPr>
                <w:rFonts w:ascii="Arial" w:hAnsi="Arial" w:cs="Arial"/>
              </w:rPr>
            </w:pPr>
          </w:p>
          <w:p w14:paraId="5652C31D" w14:textId="77777777" w:rsidR="009705E7" w:rsidRPr="009705E7" w:rsidRDefault="009705E7" w:rsidP="009705E7">
            <w:pPr>
              <w:rPr>
                <w:rFonts w:ascii="Arial" w:hAnsi="Arial" w:cs="Arial"/>
              </w:rPr>
            </w:pPr>
            <w:r w:rsidRPr="009705E7">
              <w:rPr>
                <w:rFonts w:ascii="Arial" w:hAnsi="Arial" w:cs="Arial"/>
              </w:rPr>
              <w:t>The National Institute of Clinical Excellence Technology Appraisal Guidance 197 recommends Dronedarone as an option for treatment of non permanent atrial fibrillation only in people:</w:t>
            </w:r>
          </w:p>
          <w:p w14:paraId="401401BB" w14:textId="77777777" w:rsidR="009705E7" w:rsidRPr="009705E7" w:rsidRDefault="009705E7" w:rsidP="009705E7">
            <w:pPr>
              <w:pStyle w:val="Heading4"/>
              <w:jc w:val="left"/>
              <w:rPr>
                <w:rFonts w:ascii="Arial" w:hAnsi="Arial" w:cs="Arial"/>
                <w:bCs/>
                <w:sz w:val="20"/>
              </w:rPr>
            </w:pPr>
          </w:p>
          <w:p w14:paraId="5A9346BD" w14:textId="77777777" w:rsidR="009705E7" w:rsidRPr="009705E7" w:rsidRDefault="009705E7" w:rsidP="009705E7">
            <w:pPr>
              <w:pStyle w:val="NoSpacing"/>
              <w:rPr>
                <w:rFonts w:ascii="Arial" w:hAnsi="Arial" w:cs="Arial"/>
              </w:rPr>
            </w:pPr>
            <w:r w:rsidRPr="009705E7">
              <w:rPr>
                <w:rFonts w:ascii="Arial" w:hAnsi="Arial" w:cs="Arial"/>
              </w:rPr>
              <w:t xml:space="preserve">- whose atrial fibrillation is not controlled by first-line therapy (usually including beta-blockers), that is, as a second-line treatment option, </w:t>
            </w:r>
            <w:r w:rsidRPr="009705E7">
              <w:rPr>
                <w:rFonts w:ascii="Arial" w:hAnsi="Arial" w:cs="Arial"/>
                <w:b/>
                <w:bCs/>
              </w:rPr>
              <w:t xml:space="preserve">and </w:t>
            </w:r>
          </w:p>
          <w:p w14:paraId="5F0D9866" w14:textId="77777777" w:rsidR="009705E7" w:rsidRPr="009705E7" w:rsidRDefault="009705E7" w:rsidP="009705E7">
            <w:pPr>
              <w:ind w:left="284" w:right="-808"/>
              <w:rPr>
                <w:rFonts w:ascii="Arial" w:hAnsi="Arial" w:cs="Arial"/>
              </w:rPr>
            </w:pPr>
            <w:r w:rsidRPr="009705E7">
              <w:rPr>
                <w:rFonts w:ascii="Arial" w:hAnsi="Arial" w:cs="Arial"/>
              </w:rPr>
              <w:t xml:space="preserve">who have at least one of the following cardiovascular risk factors: </w:t>
            </w:r>
          </w:p>
          <w:p w14:paraId="279C75CB" w14:textId="77777777" w:rsidR="009705E7" w:rsidRPr="009705E7" w:rsidRDefault="009705E7" w:rsidP="009705E7">
            <w:pPr>
              <w:pStyle w:val="Default"/>
              <w:ind w:left="284"/>
              <w:rPr>
                <w:sz w:val="20"/>
                <w:szCs w:val="20"/>
              </w:rPr>
            </w:pPr>
            <w:r w:rsidRPr="009705E7">
              <w:rPr>
                <w:sz w:val="20"/>
                <w:szCs w:val="20"/>
              </w:rPr>
              <w:t xml:space="preserve">− hypertension requiring drugs of at least two different classes </w:t>
            </w:r>
          </w:p>
          <w:p w14:paraId="385FC670" w14:textId="77777777" w:rsidR="009705E7" w:rsidRPr="009705E7" w:rsidRDefault="009705E7" w:rsidP="009705E7">
            <w:pPr>
              <w:pStyle w:val="Default"/>
              <w:ind w:left="284"/>
              <w:rPr>
                <w:sz w:val="20"/>
                <w:szCs w:val="20"/>
              </w:rPr>
            </w:pPr>
            <w:r w:rsidRPr="009705E7">
              <w:rPr>
                <w:sz w:val="20"/>
                <w:szCs w:val="20"/>
              </w:rPr>
              <w:t xml:space="preserve">− diabetes mellitus </w:t>
            </w:r>
          </w:p>
          <w:p w14:paraId="4D4C7A6C" w14:textId="77777777" w:rsidR="009705E7" w:rsidRPr="009705E7" w:rsidRDefault="009705E7" w:rsidP="009705E7">
            <w:pPr>
              <w:pStyle w:val="Default"/>
              <w:ind w:left="284"/>
              <w:rPr>
                <w:sz w:val="20"/>
                <w:szCs w:val="20"/>
              </w:rPr>
            </w:pPr>
            <w:r w:rsidRPr="009705E7">
              <w:rPr>
                <w:sz w:val="20"/>
                <w:szCs w:val="20"/>
              </w:rPr>
              <w:t xml:space="preserve">− previous transient ischaemic attack, stroke or systemic embolism </w:t>
            </w:r>
          </w:p>
          <w:p w14:paraId="0A0162DF" w14:textId="77777777" w:rsidR="009705E7" w:rsidRPr="009705E7" w:rsidRDefault="009705E7" w:rsidP="009705E7">
            <w:pPr>
              <w:pStyle w:val="Default"/>
              <w:ind w:left="284"/>
              <w:rPr>
                <w:sz w:val="20"/>
                <w:szCs w:val="20"/>
              </w:rPr>
            </w:pPr>
            <w:r w:rsidRPr="009705E7">
              <w:rPr>
                <w:sz w:val="20"/>
                <w:szCs w:val="20"/>
              </w:rPr>
              <w:t>− left atrial diameter of 50 mm or greater</w:t>
            </w:r>
          </w:p>
          <w:p w14:paraId="723AAC1F" w14:textId="77777777" w:rsidR="009705E7" w:rsidRPr="009705E7" w:rsidRDefault="009705E7" w:rsidP="009705E7">
            <w:pPr>
              <w:pStyle w:val="Default"/>
              <w:ind w:left="284"/>
              <w:rPr>
                <w:sz w:val="20"/>
                <w:szCs w:val="20"/>
              </w:rPr>
            </w:pPr>
            <w:r w:rsidRPr="009705E7">
              <w:rPr>
                <w:sz w:val="20"/>
                <w:szCs w:val="20"/>
              </w:rPr>
              <w:t>-  left ventricular ejection fraction &lt;40%</w:t>
            </w:r>
          </w:p>
          <w:p w14:paraId="4FEA1A6C" w14:textId="77777777" w:rsidR="009705E7" w:rsidRPr="009705E7" w:rsidRDefault="009705E7" w:rsidP="009705E7">
            <w:pPr>
              <w:pStyle w:val="Default"/>
              <w:tabs>
                <w:tab w:val="left" w:pos="3690"/>
              </w:tabs>
              <w:ind w:left="284"/>
              <w:rPr>
                <w:b/>
                <w:bCs/>
                <w:sz w:val="20"/>
                <w:szCs w:val="20"/>
              </w:rPr>
            </w:pPr>
            <w:r w:rsidRPr="009705E7">
              <w:rPr>
                <w:sz w:val="20"/>
                <w:szCs w:val="20"/>
              </w:rPr>
              <w:t xml:space="preserve">− age 70 years or older, </w:t>
            </w:r>
            <w:r w:rsidRPr="009705E7">
              <w:rPr>
                <w:b/>
                <w:bCs/>
                <w:sz w:val="20"/>
                <w:szCs w:val="20"/>
              </w:rPr>
              <w:t xml:space="preserve">and </w:t>
            </w:r>
            <w:r w:rsidRPr="009705E7">
              <w:rPr>
                <w:b/>
                <w:bCs/>
                <w:sz w:val="20"/>
                <w:szCs w:val="20"/>
              </w:rPr>
              <w:tab/>
            </w:r>
          </w:p>
          <w:p w14:paraId="63047022" w14:textId="77777777" w:rsidR="009705E7" w:rsidRPr="009705E7" w:rsidRDefault="009705E7" w:rsidP="009705E7">
            <w:pPr>
              <w:pStyle w:val="Default"/>
              <w:ind w:left="284"/>
              <w:rPr>
                <w:sz w:val="20"/>
                <w:szCs w:val="20"/>
              </w:rPr>
            </w:pPr>
            <w:r w:rsidRPr="009705E7">
              <w:rPr>
                <w:sz w:val="20"/>
                <w:szCs w:val="20"/>
              </w:rPr>
              <w:t xml:space="preserve">who do not have unstable New York Heart Association (NYHA) class III or IV heart failure. </w:t>
            </w:r>
          </w:p>
          <w:p w14:paraId="3C4EAC75" w14:textId="77777777" w:rsidR="000A3C5F" w:rsidRPr="000A3C5F" w:rsidRDefault="000A3C5F" w:rsidP="00CF7277">
            <w:pPr>
              <w:spacing w:before="60" w:after="60"/>
              <w:rPr>
                <w:rFonts w:ascii="Arial" w:hAnsi="Arial" w:cs="Arial"/>
                <w:i/>
              </w:rPr>
            </w:pPr>
          </w:p>
        </w:tc>
      </w:tr>
      <w:tr w:rsidR="000A3C5F" w14:paraId="30A69A56" w14:textId="77777777" w:rsidTr="007A53D9">
        <w:tc>
          <w:tcPr>
            <w:tcW w:w="10575" w:type="dxa"/>
            <w:vAlign w:val="center"/>
          </w:tcPr>
          <w:p w14:paraId="388DBD5E" w14:textId="77777777" w:rsidR="000A3C5F" w:rsidRPr="000A3C5F" w:rsidRDefault="000A3C5F" w:rsidP="00CF7277">
            <w:pPr>
              <w:pStyle w:val="mtrachead3"/>
              <w:keepNext w:val="0"/>
              <w:spacing w:before="60" w:after="60"/>
              <w:rPr>
                <w:rFonts w:ascii="Arial" w:hAnsi="Arial" w:cs="Arial"/>
                <w:snapToGrid/>
              </w:rPr>
            </w:pPr>
            <w:r w:rsidRPr="005B77D8">
              <w:rPr>
                <w:rFonts w:ascii="Arial" w:hAnsi="Arial" w:cs="Arial"/>
                <w:snapToGrid/>
              </w:rPr>
              <w:t>Dosage and Administration</w:t>
            </w:r>
          </w:p>
        </w:tc>
      </w:tr>
      <w:tr w:rsidR="000A3C5F" w14:paraId="5802DD0B" w14:textId="77777777" w:rsidTr="007A53D9">
        <w:tc>
          <w:tcPr>
            <w:tcW w:w="10575" w:type="dxa"/>
            <w:vAlign w:val="center"/>
          </w:tcPr>
          <w:p w14:paraId="027BB142" w14:textId="77777777" w:rsidR="009705E7" w:rsidRPr="009705E7" w:rsidRDefault="009705E7" w:rsidP="009705E7">
            <w:pPr>
              <w:spacing w:before="60" w:after="60"/>
              <w:rPr>
                <w:rFonts w:ascii="Arial" w:hAnsi="Arial" w:cs="Arial"/>
              </w:rPr>
            </w:pPr>
            <w:r w:rsidRPr="009705E7">
              <w:rPr>
                <w:rFonts w:ascii="Arial" w:hAnsi="Arial" w:cs="Arial"/>
              </w:rPr>
              <w:t>The dose of Dronedarone is 400mg twice daily and should be taken with meals</w:t>
            </w:r>
          </w:p>
          <w:p w14:paraId="5E4BE68C" w14:textId="77777777" w:rsidR="009705E7" w:rsidRPr="009705E7" w:rsidRDefault="009705E7" w:rsidP="009705E7">
            <w:pPr>
              <w:spacing w:before="60" w:after="60"/>
              <w:rPr>
                <w:rFonts w:ascii="Arial" w:hAnsi="Arial" w:cs="Arial"/>
              </w:rPr>
            </w:pPr>
            <w:r w:rsidRPr="009705E7">
              <w:rPr>
                <w:rFonts w:ascii="Arial" w:hAnsi="Arial" w:cs="Arial"/>
              </w:rPr>
              <w:t xml:space="preserve">     Treatment with Dronedarone can be initiated in an outpatient setting</w:t>
            </w:r>
          </w:p>
          <w:p w14:paraId="20D88432" w14:textId="77777777" w:rsidR="009705E7" w:rsidRPr="009705E7" w:rsidRDefault="009705E7" w:rsidP="009705E7">
            <w:pPr>
              <w:spacing w:before="60" w:after="60"/>
              <w:rPr>
                <w:rFonts w:ascii="Arial" w:hAnsi="Arial" w:cs="Arial"/>
              </w:rPr>
            </w:pPr>
          </w:p>
          <w:p w14:paraId="2D543BE5" w14:textId="77777777" w:rsidR="009705E7" w:rsidRPr="009705E7" w:rsidRDefault="009705E7" w:rsidP="009705E7">
            <w:pPr>
              <w:spacing w:before="60" w:after="60"/>
              <w:rPr>
                <w:rFonts w:ascii="Arial" w:hAnsi="Arial" w:cs="Arial"/>
              </w:rPr>
            </w:pPr>
            <w:r w:rsidRPr="009705E7">
              <w:rPr>
                <w:rFonts w:ascii="Arial" w:hAnsi="Arial" w:cs="Arial"/>
              </w:rPr>
              <w:t>If a dose is missed, patients should take the next dose at the regular scheduled time and should not double the dose</w:t>
            </w:r>
          </w:p>
          <w:p w14:paraId="138A8FD8" w14:textId="77777777" w:rsidR="009705E7" w:rsidRPr="009705E7" w:rsidRDefault="009705E7" w:rsidP="009705E7">
            <w:pPr>
              <w:spacing w:before="60" w:after="60"/>
              <w:rPr>
                <w:rFonts w:ascii="Arial" w:hAnsi="Arial" w:cs="Arial"/>
              </w:rPr>
            </w:pPr>
            <w:r w:rsidRPr="009705E7">
              <w:rPr>
                <w:rFonts w:ascii="Arial" w:hAnsi="Arial" w:cs="Arial"/>
              </w:rPr>
              <w:lastRenderedPageBreak/>
              <w:t xml:space="preserve">There is no need for a loading dose or for titration. </w:t>
            </w:r>
          </w:p>
          <w:p w14:paraId="45BD082B" w14:textId="77777777" w:rsidR="009705E7" w:rsidRPr="009705E7" w:rsidRDefault="009705E7" w:rsidP="009705E7">
            <w:pPr>
              <w:spacing w:before="60" w:after="60"/>
              <w:rPr>
                <w:rFonts w:ascii="Arial" w:hAnsi="Arial" w:cs="Arial"/>
              </w:rPr>
            </w:pPr>
            <w:r w:rsidRPr="009705E7">
              <w:rPr>
                <w:rFonts w:ascii="Arial" w:hAnsi="Arial" w:cs="Arial"/>
              </w:rPr>
              <w:t>There is no clinically relevant interaction with warfarin</w:t>
            </w:r>
            <w:r w:rsidRPr="009705E7">
              <w:rPr>
                <w:rFonts w:ascii="Arial" w:hAnsi="Arial" w:cs="Arial"/>
                <w:b/>
              </w:rPr>
              <w:t xml:space="preserve">, </w:t>
            </w:r>
            <w:r w:rsidRPr="009705E7">
              <w:rPr>
                <w:rFonts w:ascii="Arial" w:hAnsi="Arial" w:cs="Arial"/>
              </w:rPr>
              <w:t>however, since Dronedarone is a</w:t>
            </w:r>
            <w:r w:rsidRPr="009705E7">
              <w:rPr>
                <w:rFonts w:ascii="Arial" w:hAnsi="Arial" w:cs="Arial"/>
                <w:b/>
              </w:rPr>
              <w:t xml:space="preserve"> </w:t>
            </w:r>
            <w:r w:rsidRPr="009705E7">
              <w:rPr>
                <w:rFonts w:ascii="Arial" w:hAnsi="Arial" w:cs="Arial"/>
              </w:rPr>
              <w:t>P-glycoprotein inhibitor, it increases plasma concentrations of Dabigatran; therefore concomitant use of the two drugs has to be avoided.</w:t>
            </w:r>
          </w:p>
          <w:p w14:paraId="7FEF2405" w14:textId="77777777" w:rsidR="009705E7" w:rsidRPr="009705E7" w:rsidRDefault="009705E7" w:rsidP="009705E7">
            <w:pPr>
              <w:spacing w:before="60" w:after="60"/>
              <w:rPr>
                <w:rFonts w:ascii="Arial" w:hAnsi="Arial" w:cs="Arial"/>
                <w:b/>
              </w:rPr>
            </w:pPr>
          </w:p>
          <w:p w14:paraId="1445E22F" w14:textId="77777777" w:rsidR="000A3C5F" w:rsidRPr="000A3C5F" w:rsidRDefault="009705E7" w:rsidP="009705E7">
            <w:pPr>
              <w:spacing w:before="60" w:after="60"/>
              <w:rPr>
                <w:rFonts w:ascii="Arial" w:hAnsi="Arial" w:cs="Arial"/>
                <w:i/>
              </w:rPr>
            </w:pPr>
            <w:r w:rsidRPr="009705E7">
              <w:rPr>
                <w:rFonts w:ascii="Arial" w:hAnsi="Arial" w:cs="Arial"/>
                <w:b/>
              </w:rPr>
              <w:t xml:space="preserve">Treatment with Class I or III antiarrhythmics (such as flecainide, propafenone, quinidine, disopyramide, dofetilide, sotalol, amiodarone) must be stopped before starting dronedarone. </w:t>
            </w:r>
            <w:r w:rsidRPr="009705E7">
              <w:rPr>
                <w:rFonts w:ascii="Arial" w:hAnsi="Arial" w:cs="Arial"/>
              </w:rPr>
              <w:t>A washout period of one month is recommended before dronedarone is started for patients currently receiving amiodarone.  For patients receiving Dronedarone who are to receive amiodarone a washout period of two weeks is recommended.</w:t>
            </w:r>
          </w:p>
        </w:tc>
      </w:tr>
      <w:tr w:rsidR="000A3C5F" w14:paraId="34A47E06" w14:textId="77777777" w:rsidTr="007A53D9">
        <w:tc>
          <w:tcPr>
            <w:tcW w:w="10575" w:type="dxa"/>
            <w:vAlign w:val="center"/>
          </w:tcPr>
          <w:p w14:paraId="00E6E324" w14:textId="77777777" w:rsidR="000A3C5F" w:rsidRPr="000A3C5F" w:rsidRDefault="000A3C5F" w:rsidP="00CF7277">
            <w:pPr>
              <w:pStyle w:val="mtrachead3"/>
              <w:keepNext w:val="0"/>
              <w:spacing w:before="60" w:after="60"/>
              <w:rPr>
                <w:rFonts w:ascii="Arial" w:hAnsi="Arial" w:cs="Arial"/>
                <w:snapToGrid/>
              </w:rPr>
            </w:pPr>
            <w:r w:rsidRPr="005B77D8">
              <w:rPr>
                <w:rFonts w:ascii="Arial" w:hAnsi="Arial" w:cs="Arial"/>
                <w:snapToGrid/>
              </w:rPr>
              <w:lastRenderedPageBreak/>
              <w:t>Contraindications</w:t>
            </w:r>
          </w:p>
        </w:tc>
      </w:tr>
      <w:tr w:rsidR="000A3C5F" w14:paraId="680F086E" w14:textId="77777777" w:rsidTr="007A53D9">
        <w:tc>
          <w:tcPr>
            <w:tcW w:w="10575" w:type="dxa"/>
            <w:vAlign w:val="center"/>
          </w:tcPr>
          <w:p w14:paraId="25836A86"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Hypersensitivity to the active substance or to any of the excipients.</w:t>
            </w:r>
          </w:p>
          <w:p w14:paraId="3D9A5A74"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Second- or third- degree atrioventricular block or sick sinus syndrome (except when used in conjunction with a functioning pacemaker).</w:t>
            </w:r>
          </w:p>
          <w:p w14:paraId="658CE613"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Bradycardia &lt;50 beats per minute (bpm).</w:t>
            </w:r>
          </w:p>
          <w:p w14:paraId="69634576"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Permanent AF with an AF duration of ≥ 6 months (or duration unknown) and attempts to restore sinus rhythm no longer considered by the physician</w:t>
            </w:r>
          </w:p>
          <w:p w14:paraId="206CA28D"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Patients in unstable hemodynamic conditions</w:t>
            </w:r>
          </w:p>
          <w:p w14:paraId="02A4B72B"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History of, or current heart failure or left ventricular dysfunction</w:t>
            </w:r>
          </w:p>
          <w:p w14:paraId="0413AC17"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 xml:space="preserve">Patients with liver and lung toxicity related to previous use of amiodarone </w:t>
            </w:r>
          </w:p>
          <w:p w14:paraId="01BD9C11"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Co-administration with potent cytochrome P 450 (CYP) 3A4 inhibitors, such as ketoconazole, itraconazole, voriconazole, posaconazole, telithromycin, clarithromycin, nefadazone and ritonavir.</w:t>
            </w:r>
          </w:p>
          <w:p w14:paraId="6218FB00"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Medicinal products inducing torsades de pointes such as phenothiazines, cisapride, bepridil, tricyclic antidepressants, terfenadine and certain oral macrolides, Class 1 and III antiarrhythmics.</w:t>
            </w:r>
          </w:p>
          <w:p w14:paraId="736220D8"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QTc Bazzett interval ≥ 500 milliseconds.</w:t>
            </w:r>
          </w:p>
          <w:p w14:paraId="1692F35C" w14:textId="77777777" w:rsidR="00C23082" w:rsidRDefault="009705E7" w:rsidP="009705E7">
            <w:pPr>
              <w:pStyle w:val="ListParagraph"/>
              <w:numPr>
                <w:ilvl w:val="0"/>
                <w:numId w:val="43"/>
              </w:numPr>
              <w:spacing w:before="60" w:after="60"/>
              <w:rPr>
                <w:rFonts w:ascii="Arial" w:hAnsi="Arial" w:cs="Arial"/>
              </w:rPr>
            </w:pPr>
            <w:r w:rsidRPr="00C23082">
              <w:rPr>
                <w:rFonts w:ascii="Arial" w:hAnsi="Arial" w:cs="Arial"/>
              </w:rPr>
              <w:t>Severe hepatic impairment.</w:t>
            </w:r>
          </w:p>
          <w:p w14:paraId="1E8ED1B0" w14:textId="77777777" w:rsidR="000A3C5F" w:rsidRPr="00C23082" w:rsidRDefault="009705E7" w:rsidP="009705E7">
            <w:pPr>
              <w:pStyle w:val="ListParagraph"/>
              <w:numPr>
                <w:ilvl w:val="0"/>
                <w:numId w:val="43"/>
              </w:numPr>
              <w:spacing w:before="60" w:after="60"/>
              <w:rPr>
                <w:rFonts w:ascii="Arial" w:hAnsi="Arial" w:cs="Arial"/>
              </w:rPr>
            </w:pPr>
            <w:r w:rsidRPr="00C23082">
              <w:rPr>
                <w:rFonts w:ascii="Arial" w:hAnsi="Arial" w:cs="Arial"/>
              </w:rPr>
              <w:t>Severe renal impairment (CrCl &lt;30ml/min)</w:t>
            </w:r>
          </w:p>
        </w:tc>
      </w:tr>
      <w:tr w:rsidR="000A3C5F" w14:paraId="156E6467" w14:textId="77777777" w:rsidTr="007A53D9">
        <w:tc>
          <w:tcPr>
            <w:tcW w:w="10575" w:type="dxa"/>
            <w:vAlign w:val="center"/>
          </w:tcPr>
          <w:p w14:paraId="23C34658" w14:textId="77777777" w:rsidR="000A3C5F" w:rsidRPr="000A3C5F" w:rsidRDefault="000A3C5F" w:rsidP="00CF7277">
            <w:pPr>
              <w:pStyle w:val="mtrachead3"/>
              <w:keepNext w:val="0"/>
              <w:spacing w:before="60" w:after="60"/>
              <w:rPr>
                <w:rFonts w:ascii="Arial" w:hAnsi="Arial" w:cs="Arial"/>
                <w:snapToGrid/>
              </w:rPr>
            </w:pPr>
            <w:r w:rsidRPr="005B77D8">
              <w:rPr>
                <w:rFonts w:ascii="Arial" w:hAnsi="Arial" w:cs="Arial"/>
                <w:snapToGrid/>
              </w:rPr>
              <w:t>Side Effects</w:t>
            </w:r>
          </w:p>
        </w:tc>
      </w:tr>
      <w:tr w:rsidR="000A3C5F" w14:paraId="509CEF4D" w14:textId="77777777" w:rsidTr="007A53D9">
        <w:tc>
          <w:tcPr>
            <w:tcW w:w="10575" w:type="dxa"/>
            <w:vAlign w:val="center"/>
          </w:tcPr>
          <w:p w14:paraId="470E935E" w14:textId="77777777" w:rsidR="009705E7" w:rsidRPr="009705E7" w:rsidRDefault="009705E7" w:rsidP="009705E7">
            <w:pPr>
              <w:spacing w:before="60" w:after="60"/>
              <w:rPr>
                <w:rFonts w:ascii="Arial" w:hAnsi="Arial" w:cs="Arial"/>
                <w:b/>
                <w:u w:val="single"/>
              </w:rPr>
            </w:pPr>
            <w:r w:rsidRPr="009705E7">
              <w:rPr>
                <w:rFonts w:ascii="Arial" w:hAnsi="Arial" w:cs="Arial"/>
                <w:b/>
                <w:bCs/>
              </w:rPr>
              <w:t>Dronedarone</w:t>
            </w:r>
            <w:r w:rsidRPr="009705E7">
              <w:rPr>
                <w:rFonts w:ascii="Arial" w:hAnsi="Arial" w:cs="Arial"/>
                <w:b/>
                <w:noProof/>
                <w:lang w:eastAsia="en-GB"/>
              </w:rPr>
              <w:drawing>
                <wp:inline distT="0" distB="0" distL="0" distR="0" wp14:anchorId="72F367BB" wp14:editId="7EDF6080">
                  <wp:extent cx="114300" cy="114300"/>
                  <wp:effectExtent l="0" t="0" r="0" b="0"/>
                  <wp:docPr id="4" name="Picture 4" descr="BLACK DOWN-POINTING TRIANGLE (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DOWN-POINTING TRIANGLE (96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705E7">
              <w:rPr>
                <w:rFonts w:ascii="Arial" w:hAnsi="Arial" w:cs="Arial"/>
              </w:rPr>
              <w:t xml:space="preserve"> is a black triangle drug. Continue to report to the MHRA and the Commission on Human medicines all suspected adverse reactions via the Yellow Card Scheme.</w:t>
            </w:r>
          </w:p>
          <w:p w14:paraId="15384FB9" w14:textId="77777777" w:rsidR="009705E7" w:rsidRPr="009705E7" w:rsidRDefault="009705E7" w:rsidP="009705E7">
            <w:pPr>
              <w:spacing w:before="60" w:after="60"/>
              <w:rPr>
                <w:rFonts w:ascii="Arial" w:hAnsi="Arial" w:cs="Arial"/>
              </w:rPr>
            </w:pPr>
            <w:r w:rsidRPr="009705E7">
              <w:rPr>
                <w:rFonts w:ascii="Arial" w:hAnsi="Arial" w:cs="Arial"/>
              </w:rPr>
              <w:t xml:space="preserve">Common side effects include diarrhoea, abdominal discomfort, rash, bradycardia, fatigue, asthenia, nausea, vomiting, raised creatinine ( </w:t>
            </w:r>
            <w:r w:rsidRPr="009705E7">
              <w:rPr>
                <w:rFonts w:ascii="Arial" w:hAnsi="Arial" w:cs="Arial"/>
                <w:noProof/>
                <w:lang w:eastAsia="en-GB"/>
              </w:rPr>
              <w:drawing>
                <wp:inline distT="0" distB="0" distL="0" distR="0" wp14:anchorId="5A85FA2C" wp14:editId="60DB4492">
                  <wp:extent cx="114300" cy="114300"/>
                  <wp:effectExtent l="0" t="0" r="0" b="0"/>
                  <wp:docPr id="5" name="Picture 5"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ER-THAN OR EQUAL TO (88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705E7">
              <w:rPr>
                <w:rFonts w:ascii="Arial" w:hAnsi="Arial" w:cs="Arial"/>
              </w:rPr>
              <w:t>10% five days after treatment initiation, tubular secretion of creatinine is decreased without affecting GFR) and prolonged QT Interval.</w:t>
            </w:r>
          </w:p>
          <w:p w14:paraId="2C572621" w14:textId="77777777" w:rsidR="009705E7" w:rsidRPr="009705E7" w:rsidRDefault="009705E7" w:rsidP="009705E7">
            <w:pPr>
              <w:spacing w:before="60" w:after="60"/>
              <w:rPr>
                <w:rFonts w:ascii="Arial" w:hAnsi="Arial" w:cs="Arial"/>
                <w:b/>
              </w:rPr>
            </w:pPr>
          </w:p>
          <w:p w14:paraId="265E8320" w14:textId="77777777" w:rsidR="009705E7" w:rsidRPr="009705E7" w:rsidRDefault="009705E7" w:rsidP="009705E7">
            <w:pPr>
              <w:spacing w:before="60" w:after="60"/>
              <w:rPr>
                <w:rFonts w:ascii="Arial" w:hAnsi="Arial" w:cs="Arial"/>
                <w:b/>
              </w:rPr>
            </w:pPr>
            <w:r w:rsidRPr="009705E7">
              <w:rPr>
                <w:rFonts w:ascii="Arial" w:hAnsi="Arial" w:cs="Arial"/>
                <w:b/>
              </w:rPr>
              <w:t>Pregnancy/Lactation</w:t>
            </w:r>
          </w:p>
          <w:p w14:paraId="12D932E0" w14:textId="77777777" w:rsidR="009705E7" w:rsidRPr="009705E7" w:rsidRDefault="009705E7" w:rsidP="009705E7">
            <w:pPr>
              <w:spacing w:before="60" w:after="60"/>
              <w:rPr>
                <w:rFonts w:ascii="Arial" w:hAnsi="Arial" w:cs="Arial"/>
                <w:i/>
                <w:u w:val="single"/>
              </w:rPr>
            </w:pPr>
            <w:r w:rsidRPr="009705E7">
              <w:rPr>
                <w:rFonts w:ascii="Arial" w:hAnsi="Arial" w:cs="Arial"/>
              </w:rPr>
              <w:t>Dronedarone is not recommended during pregnancy. It is not known whether Dronedarone is excreted in human breast milk.</w:t>
            </w:r>
            <w:r w:rsidRPr="009705E7">
              <w:rPr>
                <w:rFonts w:ascii="Arial" w:hAnsi="Arial" w:cs="Arial"/>
                <w:i/>
              </w:rPr>
              <w:t xml:space="preserve"> </w:t>
            </w:r>
          </w:p>
          <w:p w14:paraId="31818375" w14:textId="77777777" w:rsidR="000A3C5F" w:rsidRPr="000A3C5F" w:rsidRDefault="000A3C5F" w:rsidP="00CF7277">
            <w:pPr>
              <w:spacing w:before="60" w:after="60"/>
              <w:rPr>
                <w:rFonts w:ascii="Arial" w:hAnsi="Arial" w:cs="Arial"/>
                <w:i/>
              </w:rPr>
            </w:pPr>
          </w:p>
        </w:tc>
      </w:tr>
      <w:tr w:rsidR="000A3C5F" w14:paraId="0CF6DD9F" w14:textId="77777777" w:rsidTr="007A53D9">
        <w:tc>
          <w:tcPr>
            <w:tcW w:w="10575" w:type="dxa"/>
            <w:vAlign w:val="center"/>
          </w:tcPr>
          <w:p w14:paraId="2F9547F9" w14:textId="77777777" w:rsidR="000A3C5F" w:rsidRDefault="000A3C5F" w:rsidP="00CF7277">
            <w:pPr>
              <w:spacing w:before="60" w:after="60"/>
              <w:rPr>
                <w:rFonts w:ascii="Arial" w:hAnsi="Arial" w:cs="Arial"/>
                <w:b/>
              </w:rPr>
            </w:pPr>
            <w:r w:rsidRPr="005B77D8">
              <w:rPr>
                <w:rFonts w:ascii="Arial" w:hAnsi="Arial" w:cs="Arial"/>
                <w:b/>
              </w:rPr>
              <w:t>Monitoring</w:t>
            </w:r>
          </w:p>
        </w:tc>
      </w:tr>
      <w:tr w:rsidR="000A3C5F" w14:paraId="403745E4" w14:textId="77777777" w:rsidTr="007A53D9">
        <w:tc>
          <w:tcPr>
            <w:tcW w:w="10575" w:type="dxa"/>
            <w:vAlign w:val="center"/>
          </w:tcPr>
          <w:p w14:paraId="75A0DF25" w14:textId="77777777" w:rsidR="009705E7" w:rsidRPr="009705E7" w:rsidRDefault="009705E7" w:rsidP="009705E7">
            <w:pPr>
              <w:spacing w:before="60" w:after="60"/>
              <w:rPr>
                <w:rFonts w:ascii="Arial" w:hAnsi="Arial" w:cs="Arial"/>
                <w:i/>
              </w:rPr>
            </w:pPr>
            <w:r w:rsidRPr="009705E7">
              <w:rPr>
                <w:rFonts w:ascii="Arial" w:hAnsi="Arial" w:cs="Arial"/>
                <w:i/>
              </w:rPr>
              <w:t>Cardiovascular Monitoring</w:t>
            </w:r>
          </w:p>
          <w:p w14:paraId="379D8C19" w14:textId="77777777" w:rsidR="009705E7" w:rsidRPr="009705E7" w:rsidRDefault="009705E7" w:rsidP="009705E7">
            <w:pPr>
              <w:numPr>
                <w:ilvl w:val="1"/>
                <w:numId w:val="42"/>
              </w:numPr>
              <w:spacing w:before="60" w:after="60"/>
              <w:rPr>
                <w:rFonts w:ascii="Arial" w:hAnsi="Arial" w:cs="Arial"/>
                <w:i/>
              </w:rPr>
            </w:pPr>
            <w:r w:rsidRPr="009705E7">
              <w:rPr>
                <w:rFonts w:ascii="Arial" w:hAnsi="Arial" w:cs="Arial"/>
                <w:i/>
              </w:rPr>
              <w:t>Baseline ECG and at 6 monthly intervals to identify those who revert back to AF. Discontinuation of Dronedarone should be considered for these patients.</w:t>
            </w:r>
          </w:p>
          <w:p w14:paraId="32146616" w14:textId="77777777" w:rsidR="009705E7" w:rsidRPr="009705E7" w:rsidRDefault="009705E7" w:rsidP="009705E7">
            <w:pPr>
              <w:spacing w:before="60" w:after="60"/>
              <w:rPr>
                <w:rFonts w:ascii="Arial" w:hAnsi="Arial" w:cs="Arial"/>
                <w:i/>
              </w:rPr>
            </w:pPr>
          </w:p>
          <w:p w14:paraId="539D2D03" w14:textId="77777777" w:rsidR="009705E7" w:rsidRPr="009705E7" w:rsidRDefault="009705E7" w:rsidP="009705E7">
            <w:pPr>
              <w:spacing w:before="60" w:after="60"/>
              <w:rPr>
                <w:rFonts w:ascii="Arial" w:hAnsi="Arial" w:cs="Arial"/>
                <w:i/>
              </w:rPr>
            </w:pPr>
            <w:r w:rsidRPr="009705E7">
              <w:rPr>
                <w:rFonts w:ascii="Arial" w:hAnsi="Arial" w:cs="Arial"/>
                <w:i/>
              </w:rPr>
              <w:t>Hepatic Monitoring</w:t>
            </w:r>
          </w:p>
          <w:p w14:paraId="4FD4AFD2" w14:textId="77777777" w:rsidR="009705E7" w:rsidRPr="009705E7" w:rsidRDefault="009705E7" w:rsidP="009705E7">
            <w:pPr>
              <w:spacing w:before="60" w:after="60"/>
              <w:rPr>
                <w:rFonts w:ascii="Arial" w:hAnsi="Arial" w:cs="Arial"/>
                <w:i/>
              </w:rPr>
            </w:pPr>
            <w:r w:rsidRPr="009705E7">
              <w:rPr>
                <w:rFonts w:ascii="Arial" w:hAnsi="Arial" w:cs="Arial"/>
                <w:i/>
              </w:rPr>
              <w:t xml:space="preserve">LFTs should be taken before starting treatment with Dronedarone, after 1 week of treatment; monthly thereafter for the first 6 months of treatment, at month 9, at month 12 and periodically thereafter..   </w:t>
            </w:r>
          </w:p>
          <w:p w14:paraId="2D69DC10" w14:textId="77777777" w:rsidR="009705E7" w:rsidRPr="009705E7" w:rsidRDefault="009705E7" w:rsidP="009705E7">
            <w:pPr>
              <w:spacing w:before="60" w:after="60"/>
              <w:rPr>
                <w:rFonts w:ascii="Arial" w:hAnsi="Arial" w:cs="Arial"/>
                <w:b/>
                <w:i/>
              </w:rPr>
            </w:pPr>
          </w:p>
          <w:p w14:paraId="512C244F" w14:textId="77777777" w:rsidR="009705E7" w:rsidRPr="009705E7" w:rsidRDefault="009705E7" w:rsidP="009705E7">
            <w:pPr>
              <w:spacing w:before="60" w:after="60"/>
              <w:rPr>
                <w:rFonts w:ascii="Arial" w:hAnsi="Arial" w:cs="Arial"/>
                <w:i/>
              </w:rPr>
            </w:pPr>
            <w:r w:rsidRPr="009705E7">
              <w:rPr>
                <w:rFonts w:ascii="Arial" w:hAnsi="Arial" w:cs="Arial"/>
                <w:i/>
              </w:rPr>
              <w:t>Renal Monitoring</w:t>
            </w:r>
          </w:p>
          <w:p w14:paraId="2579C404" w14:textId="77777777" w:rsidR="009705E7" w:rsidRPr="009705E7" w:rsidRDefault="009705E7" w:rsidP="009705E7">
            <w:pPr>
              <w:numPr>
                <w:ilvl w:val="1"/>
                <w:numId w:val="42"/>
              </w:numPr>
              <w:spacing w:before="60" w:after="60"/>
              <w:rPr>
                <w:rFonts w:ascii="Arial" w:hAnsi="Arial" w:cs="Arial"/>
                <w:i/>
              </w:rPr>
            </w:pPr>
            <w:r w:rsidRPr="009705E7">
              <w:rPr>
                <w:rFonts w:ascii="Arial" w:hAnsi="Arial" w:cs="Arial"/>
                <w:i/>
              </w:rPr>
              <w:t xml:space="preserve">Creatinine levels should be measured before and 7 days after the initiation of Dronedarone. An increase in plasma creatinine (mean increase 10 micromol/L) has been observed with dronedarone 400 mg twice daily in </w:t>
            </w:r>
            <w:r w:rsidRPr="009705E7">
              <w:rPr>
                <w:rFonts w:ascii="Arial" w:hAnsi="Arial" w:cs="Arial"/>
                <w:i/>
              </w:rPr>
              <w:lastRenderedPageBreak/>
              <w:t xml:space="preserve">healthy subjects and in patients. If an increase in creatininemia is observed, serum creatinine should be re-meaured after a further 7 days. If no further increase in creatinaemia is observed, this value should be used as the new reference baseline. If serum creatinine continues to rise, then consideration should be give to further investigation and discontinuing treatment. </w:t>
            </w:r>
          </w:p>
          <w:p w14:paraId="4B6194B6" w14:textId="77777777" w:rsidR="009705E7" w:rsidRPr="009705E7" w:rsidRDefault="009705E7" w:rsidP="009705E7">
            <w:pPr>
              <w:spacing w:before="60" w:after="60"/>
              <w:rPr>
                <w:rFonts w:ascii="Arial" w:hAnsi="Arial" w:cs="Arial"/>
                <w:i/>
              </w:rPr>
            </w:pPr>
          </w:p>
          <w:p w14:paraId="7992D9FD" w14:textId="77777777" w:rsidR="009705E7" w:rsidRPr="009705E7" w:rsidRDefault="009705E7" w:rsidP="009705E7">
            <w:pPr>
              <w:spacing w:before="60" w:after="60"/>
              <w:rPr>
                <w:rFonts w:ascii="Arial" w:hAnsi="Arial" w:cs="Arial"/>
                <w:i/>
              </w:rPr>
            </w:pPr>
            <w:r w:rsidRPr="009705E7">
              <w:rPr>
                <w:rFonts w:ascii="Arial" w:hAnsi="Arial" w:cs="Arial"/>
                <w:i/>
              </w:rPr>
              <w:t xml:space="preserve">An increase in creatininemia should not necessarily lead to the discontinuation of treatment with ACE inhibitors or angiotensin II receptor antagonists. </w:t>
            </w:r>
          </w:p>
          <w:p w14:paraId="11C1B0E1" w14:textId="77777777" w:rsidR="009705E7" w:rsidRPr="009705E7" w:rsidRDefault="009705E7" w:rsidP="009705E7">
            <w:pPr>
              <w:spacing w:before="60" w:after="60"/>
              <w:rPr>
                <w:rFonts w:ascii="Arial" w:hAnsi="Arial" w:cs="Arial"/>
                <w:b/>
                <w:i/>
              </w:rPr>
            </w:pPr>
          </w:p>
          <w:p w14:paraId="4EAB65DA" w14:textId="77777777" w:rsidR="009705E7" w:rsidRPr="009705E7" w:rsidRDefault="009705E7" w:rsidP="009705E7">
            <w:pPr>
              <w:spacing w:before="60" w:after="60"/>
              <w:rPr>
                <w:rFonts w:ascii="Arial" w:hAnsi="Arial" w:cs="Arial"/>
                <w:i/>
              </w:rPr>
            </w:pPr>
            <w:r w:rsidRPr="009705E7">
              <w:rPr>
                <w:rFonts w:ascii="Arial" w:hAnsi="Arial" w:cs="Arial"/>
                <w:i/>
              </w:rPr>
              <w:t>Pulmonary Monitoring</w:t>
            </w:r>
          </w:p>
          <w:p w14:paraId="206F4C4A" w14:textId="77777777" w:rsidR="009705E7" w:rsidRPr="009705E7" w:rsidRDefault="009705E7" w:rsidP="009705E7">
            <w:pPr>
              <w:numPr>
                <w:ilvl w:val="1"/>
                <w:numId w:val="42"/>
              </w:numPr>
              <w:spacing w:before="60" w:after="60"/>
              <w:rPr>
                <w:rFonts w:ascii="Arial" w:hAnsi="Arial" w:cs="Arial"/>
                <w:i/>
              </w:rPr>
            </w:pPr>
            <w:r w:rsidRPr="009705E7">
              <w:rPr>
                <w:rFonts w:ascii="Arial" w:hAnsi="Arial" w:cs="Arial"/>
                <w:i/>
              </w:rPr>
              <w:t>Cases of interstitial lung disease, including pneumonitis and pulmonary fibrosis have been reported.</w:t>
            </w:r>
          </w:p>
          <w:p w14:paraId="68CE8288" w14:textId="77777777" w:rsidR="009705E7" w:rsidRPr="009705E7" w:rsidRDefault="009705E7" w:rsidP="009705E7">
            <w:pPr>
              <w:numPr>
                <w:ilvl w:val="1"/>
                <w:numId w:val="42"/>
              </w:numPr>
              <w:spacing w:before="60" w:after="60"/>
              <w:rPr>
                <w:rFonts w:ascii="Arial" w:hAnsi="Arial" w:cs="Arial"/>
                <w:i/>
              </w:rPr>
            </w:pPr>
            <w:r w:rsidRPr="009705E7">
              <w:rPr>
                <w:rFonts w:ascii="Arial" w:hAnsi="Arial" w:cs="Arial"/>
                <w:i/>
              </w:rPr>
              <w:t>Onset of dyspnoea or non-productive cough may be related to pulmonary toxicity.</w:t>
            </w:r>
          </w:p>
          <w:p w14:paraId="55727877" w14:textId="77777777" w:rsidR="009705E7" w:rsidRPr="009705E7" w:rsidRDefault="009705E7" w:rsidP="009705E7">
            <w:pPr>
              <w:numPr>
                <w:ilvl w:val="1"/>
                <w:numId w:val="42"/>
              </w:numPr>
              <w:spacing w:before="60" w:after="60"/>
              <w:rPr>
                <w:rFonts w:ascii="Arial" w:hAnsi="Arial" w:cs="Arial"/>
                <w:i/>
              </w:rPr>
            </w:pPr>
            <w:r w:rsidRPr="009705E7">
              <w:rPr>
                <w:rFonts w:ascii="Arial" w:hAnsi="Arial" w:cs="Arial"/>
                <w:i/>
              </w:rPr>
              <w:t>If suspected, relevant lung examinations should be undertaken and treatment discontinued if confirmed.</w:t>
            </w:r>
          </w:p>
          <w:p w14:paraId="23845E00" w14:textId="77777777" w:rsidR="009705E7" w:rsidRPr="009705E7" w:rsidRDefault="009705E7" w:rsidP="009705E7">
            <w:pPr>
              <w:spacing w:before="60" w:after="60"/>
              <w:rPr>
                <w:rFonts w:ascii="Arial" w:hAnsi="Arial" w:cs="Arial"/>
                <w:b/>
                <w:i/>
              </w:rPr>
            </w:pPr>
          </w:p>
          <w:p w14:paraId="2816E7A4" w14:textId="77777777" w:rsidR="009705E7" w:rsidRPr="009705E7" w:rsidRDefault="009705E7" w:rsidP="009705E7">
            <w:pPr>
              <w:spacing w:before="60" w:after="60"/>
              <w:rPr>
                <w:rFonts w:ascii="Arial" w:hAnsi="Arial" w:cs="Arial"/>
                <w:b/>
                <w:i/>
              </w:rPr>
            </w:pPr>
            <w:r w:rsidRPr="009705E7">
              <w:rPr>
                <w:rFonts w:ascii="Arial" w:hAnsi="Arial" w:cs="Arial"/>
                <w:b/>
                <w:i/>
              </w:rPr>
              <w:t>All cardiac, hepatic and renal monitoring will take place in secondary care under the supervision of the Cardiology/Electrophysiology team; prescribing can continue in primary care.  Should there be any change in the clinical condition of the patient, this will be communicated to the patients GP and advice will be given regarding the continuation of Dronedarone.</w:t>
            </w:r>
          </w:p>
          <w:p w14:paraId="11C1368D" w14:textId="77777777" w:rsidR="009705E7" w:rsidRDefault="009705E7" w:rsidP="009705E7">
            <w:pPr>
              <w:spacing w:before="60" w:after="60"/>
              <w:rPr>
                <w:rFonts w:ascii="Arial" w:hAnsi="Arial" w:cs="Arial"/>
                <w:b/>
                <w:i/>
                <w:u w:val="single"/>
              </w:rPr>
            </w:pPr>
          </w:p>
          <w:p w14:paraId="3C568D00" w14:textId="77777777" w:rsidR="009705E7" w:rsidRPr="009705E7" w:rsidRDefault="009705E7" w:rsidP="009705E7">
            <w:pPr>
              <w:spacing w:before="60" w:after="60"/>
              <w:rPr>
                <w:rFonts w:ascii="Arial" w:hAnsi="Arial" w:cs="Arial"/>
                <w:b/>
                <w:i/>
                <w:u w:val="single"/>
              </w:rPr>
            </w:pPr>
            <w:r w:rsidRPr="009705E7">
              <w:rPr>
                <w:rFonts w:ascii="Arial" w:hAnsi="Arial" w:cs="Arial"/>
                <w:b/>
                <w:i/>
                <w:u w:val="single"/>
              </w:rPr>
              <w:t>Toxicity</w:t>
            </w:r>
          </w:p>
          <w:p w14:paraId="5F6C014E" w14:textId="77777777" w:rsidR="009705E7" w:rsidRPr="009705E7" w:rsidRDefault="009705E7" w:rsidP="009705E7">
            <w:pPr>
              <w:spacing w:before="60" w:after="60"/>
              <w:rPr>
                <w:rFonts w:ascii="Arial" w:hAnsi="Arial" w:cs="Arial"/>
                <w:b/>
                <w:i/>
                <w:u w:val="single"/>
              </w:r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3705"/>
              <w:gridCol w:w="2793"/>
              <w:gridCol w:w="2280"/>
            </w:tblGrid>
            <w:tr w:rsidR="009705E7" w:rsidRPr="009705E7" w14:paraId="49E82D67" w14:textId="77777777" w:rsidTr="00A642C1">
              <w:trPr>
                <w:trHeight w:val="390"/>
              </w:trPr>
              <w:tc>
                <w:tcPr>
                  <w:tcW w:w="1881" w:type="dxa"/>
                  <w:tcBorders>
                    <w:bottom w:val="single" w:sz="18" w:space="0" w:color="auto"/>
                  </w:tcBorders>
                </w:tcPr>
                <w:p w14:paraId="4D7AF20A" w14:textId="77777777" w:rsidR="009705E7" w:rsidRPr="009705E7" w:rsidRDefault="009705E7" w:rsidP="009705E7">
                  <w:pPr>
                    <w:spacing w:before="60" w:after="60"/>
                    <w:rPr>
                      <w:rFonts w:ascii="Arial" w:hAnsi="Arial" w:cs="Arial"/>
                      <w:b/>
                      <w:i/>
                    </w:rPr>
                  </w:pPr>
                  <w:r w:rsidRPr="009705E7">
                    <w:rPr>
                      <w:rFonts w:ascii="Arial" w:hAnsi="Arial" w:cs="Arial"/>
                      <w:b/>
                      <w:i/>
                    </w:rPr>
                    <w:t>Parameter</w:t>
                  </w:r>
                </w:p>
              </w:tc>
              <w:tc>
                <w:tcPr>
                  <w:tcW w:w="3705" w:type="dxa"/>
                  <w:tcBorders>
                    <w:bottom w:val="single" w:sz="18" w:space="0" w:color="auto"/>
                  </w:tcBorders>
                </w:tcPr>
                <w:p w14:paraId="00A44845" w14:textId="77777777" w:rsidR="009705E7" w:rsidRPr="009705E7" w:rsidRDefault="009705E7" w:rsidP="009705E7">
                  <w:pPr>
                    <w:spacing w:before="60" w:after="60"/>
                    <w:rPr>
                      <w:rFonts w:ascii="Arial" w:hAnsi="Arial" w:cs="Arial"/>
                      <w:b/>
                      <w:i/>
                    </w:rPr>
                  </w:pPr>
                  <w:r w:rsidRPr="009705E7">
                    <w:rPr>
                      <w:rFonts w:ascii="Arial" w:hAnsi="Arial" w:cs="Arial"/>
                      <w:b/>
                      <w:i/>
                    </w:rPr>
                    <w:t>Frequency of Monitoring</w:t>
                  </w:r>
                </w:p>
              </w:tc>
              <w:tc>
                <w:tcPr>
                  <w:tcW w:w="2793" w:type="dxa"/>
                  <w:tcBorders>
                    <w:bottom w:val="single" w:sz="18" w:space="0" w:color="auto"/>
                  </w:tcBorders>
                </w:tcPr>
                <w:p w14:paraId="3975425A" w14:textId="77777777" w:rsidR="009705E7" w:rsidRPr="009705E7" w:rsidRDefault="009705E7" w:rsidP="009705E7">
                  <w:pPr>
                    <w:spacing w:before="60" w:after="60"/>
                    <w:rPr>
                      <w:rFonts w:ascii="Arial" w:hAnsi="Arial" w:cs="Arial"/>
                      <w:b/>
                      <w:i/>
                    </w:rPr>
                  </w:pPr>
                  <w:r w:rsidRPr="009705E7">
                    <w:rPr>
                      <w:rFonts w:ascii="Arial" w:hAnsi="Arial" w:cs="Arial"/>
                      <w:b/>
                      <w:i/>
                    </w:rPr>
                    <w:t>Result</w:t>
                  </w:r>
                </w:p>
              </w:tc>
              <w:tc>
                <w:tcPr>
                  <w:tcW w:w="2280" w:type="dxa"/>
                  <w:tcBorders>
                    <w:bottom w:val="single" w:sz="18" w:space="0" w:color="auto"/>
                  </w:tcBorders>
                </w:tcPr>
                <w:p w14:paraId="627F54E1" w14:textId="77777777" w:rsidR="009705E7" w:rsidRPr="009705E7" w:rsidRDefault="009705E7" w:rsidP="009705E7">
                  <w:pPr>
                    <w:spacing w:before="60" w:after="60"/>
                    <w:rPr>
                      <w:rFonts w:ascii="Arial" w:hAnsi="Arial" w:cs="Arial"/>
                      <w:b/>
                      <w:i/>
                    </w:rPr>
                  </w:pPr>
                  <w:r w:rsidRPr="009705E7">
                    <w:rPr>
                      <w:rFonts w:ascii="Arial" w:hAnsi="Arial" w:cs="Arial"/>
                      <w:b/>
                      <w:i/>
                    </w:rPr>
                    <w:t>Action</w:t>
                  </w:r>
                </w:p>
              </w:tc>
            </w:tr>
            <w:tr w:rsidR="009705E7" w:rsidRPr="009705E7" w14:paraId="54F62528" w14:textId="77777777" w:rsidTr="00A642C1">
              <w:trPr>
                <w:trHeight w:val="390"/>
              </w:trPr>
              <w:tc>
                <w:tcPr>
                  <w:tcW w:w="1881" w:type="dxa"/>
                  <w:tcBorders>
                    <w:top w:val="single" w:sz="18" w:space="0" w:color="auto"/>
                  </w:tcBorders>
                </w:tcPr>
                <w:p w14:paraId="6B22B74F" w14:textId="77777777" w:rsidR="009705E7" w:rsidRPr="009705E7" w:rsidRDefault="009705E7" w:rsidP="009705E7">
                  <w:pPr>
                    <w:spacing w:before="60" w:after="60"/>
                    <w:rPr>
                      <w:rFonts w:ascii="Arial" w:hAnsi="Arial" w:cs="Arial"/>
                      <w:i/>
                    </w:rPr>
                  </w:pPr>
                  <w:r w:rsidRPr="009705E7">
                    <w:rPr>
                      <w:rFonts w:ascii="Arial" w:hAnsi="Arial" w:cs="Arial"/>
                      <w:i/>
                    </w:rPr>
                    <w:t>ECG</w:t>
                  </w:r>
                </w:p>
              </w:tc>
              <w:tc>
                <w:tcPr>
                  <w:tcW w:w="3705" w:type="dxa"/>
                  <w:tcBorders>
                    <w:top w:val="single" w:sz="18" w:space="0" w:color="auto"/>
                  </w:tcBorders>
                </w:tcPr>
                <w:p w14:paraId="2DDF4B4F" w14:textId="77777777" w:rsidR="009705E7" w:rsidRPr="009705E7" w:rsidRDefault="009705E7" w:rsidP="009705E7">
                  <w:pPr>
                    <w:spacing w:before="60" w:after="60"/>
                    <w:rPr>
                      <w:rFonts w:ascii="Arial" w:hAnsi="Arial" w:cs="Arial"/>
                      <w:i/>
                    </w:rPr>
                  </w:pPr>
                  <w:r w:rsidRPr="009705E7">
                    <w:rPr>
                      <w:rFonts w:ascii="Arial" w:hAnsi="Arial" w:cs="Arial"/>
                      <w:i/>
                    </w:rPr>
                    <w:t xml:space="preserve">Monitor ECG for QTc (Bazett) interval prolongation </w:t>
                  </w:r>
                </w:p>
              </w:tc>
              <w:tc>
                <w:tcPr>
                  <w:tcW w:w="2793" w:type="dxa"/>
                  <w:tcBorders>
                    <w:top w:val="single" w:sz="18" w:space="0" w:color="auto"/>
                  </w:tcBorders>
                </w:tcPr>
                <w:p w14:paraId="6A58E80B" w14:textId="77777777" w:rsidR="009705E7" w:rsidRPr="009705E7" w:rsidRDefault="009705E7" w:rsidP="009705E7">
                  <w:pPr>
                    <w:spacing w:before="60" w:after="60"/>
                    <w:rPr>
                      <w:rFonts w:ascii="Arial" w:hAnsi="Arial" w:cs="Arial"/>
                      <w:i/>
                    </w:rPr>
                  </w:pPr>
                  <w:r w:rsidRPr="009705E7">
                    <w:rPr>
                      <w:rFonts w:ascii="Arial" w:hAnsi="Arial" w:cs="Arial"/>
                      <w:i/>
                    </w:rPr>
                    <w:t xml:space="preserve">not greater than or equal to 500 milliseconds </w:t>
                  </w:r>
                </w:p>
              </w:tc>
              <w:tc>
                <w:tcPr>
                  <w:tcW w:w="2280" w:type="dxa"/>
                  <w:tcBorders>
                    <w:top w:val="single" w:sz="18" w:space="0" w:color="auto"/>
                  </w:tcBorders>
                </w:tcPr>
                <w:p w14:paraId="6FCADFBC" w14:textId="77777777" w:rsidR="009705E7" w:rsidRPr="009705E7" w:rsidRDefault="009705E7" w:rsidP="009705E7">
                  <w:pPr>
                    <w:spacing w:before="60" w:after="60"/>
                    <w:rPr>
                      <w:rFonts w:ascii="Arial" w:hAnsi="Arial" w:cs="Arial"/>
                      <w:i/>
                    </w:rPr>
                  </w:pPr>
                  <w:r w:rsidRPr="009705E7">
                    <w:rPr>
                      <w:rFonts w:ascii="Arial" w:hAnsi="Arial" w:cs="Arial"/>
                      <w:i/>
                    </w:rPr>
                    <w:t>Refer to consultant</w:t>
                  </w:r>
                </w:p>
              </w:tc>
            </w:tr>
            <w:tr w:rsidR="009705E7" w:rsidRPr="009705E7" w14:paraId="599D55C5" w14:textId="77777777" w:rsidTr="00A642C1">
              <w:trPr>
                <w:trHeight w:val="390"/>
              </w:trPr>
              <w:tc>
                <w:tcPr>
                  <w:tcW w:w="1881" w:type="dxa"/>
                </w:tcPr>
                <w:p w14:paraId="01FC6519" w14:textId="77777777" w:rsidR="009705E7" w:rsidRPr="009705E7" w:rsidRDefault="009705E7" w:rsidP="009705E7">
                  <w:pPr>
                    <w:spacing w:before="60" w:after="60"/>
                    <w:rPr>
                      <w:rFonts w:ascii="Arial" w:hAnsi="Arial" w:cs="Arial"/>
                      <w:i/>
                    </w:rPr>
                  </w:pPr>
                  <w:r w:rsidRPr="009705E7">
                    <w:rPr>
                      <w:rFonts w:ascii="Arial" w:hAnsi="Arial" w:cs="Arial"/>
                      <w:i/>
                    </w:rPr>
                    <w:t>U&amp;E</w:t>
                  </w:r>
                </w:p>
              </w:tc>
              <w:tc>
                <w:tcPr>
                  <w:tcW w:w="3705" w:type="dxa"/>
                </w:tcPr>
                <w:p w14:paraId="4ABF2355" w14:textId="77777777" w:rsidR="009705E7" w:rsidRPr="009705E7" w:rsidRDefault="009705E7" w:rsidP="009705E7">
                  <w:pPr>
                    <w:spacing w:before="60" w:after="60"/>
                    <w:rPr>
                      <w:rFonts w:ascii="Arial" w:hAnsi="Arial" w:cs="Arial"/>
                      <w:i/>
                    </w:rPr>
                  </w:pPr>
                  <w:r w:rsidRPr="009705E7">
                    <w:rPr>
                      <w:rFonts w:ascii="Arial" w:hAnsi="Arial" w:cs="Arial"/>
                      <w:i/>
                    </w:rPr>
                    <w:t>Will be monitored in secondary care; Creatine will be assessed at day 7 and any change will be taken as the patients new baseline.  This will be communicated to the GP</w:t>
                  </w:r>
                </w:p>
                <w:p w14:paraId="21BB5703" w14:textId="77777777" w:rsidR="009705E7" w:rsidRPr="009705E7" w:rsidRDefault="009705E7" w:rsidP="009705E7">
                  <w:pPr>
                    <w:spacing w:before="60" w:after="60"/>
                    <w:rPr>
                      <w:rFonts w:ascii="Arial" w:hAnsi="Arial" w:cs="Arial"/>
                      <w:i/>
                    </w:rPr>
                  </w:pPr>
                </w:p>
              </w:tc>
              <w:tc>
                <w:tcPr>
                  <w:tcW w:w="2793" w:type="dxa"/>
                </w:tcPr>
                <w:p w14:paraId="2B05E47C" w14:textId="77777777" w:rsidR="009705E7" w:rsidRPr="009705E7" w:rsidRDefault="009705E7" w:rsidP="009705E7">
                  <w:pPr>
                    <w:spacing w:before="60" w:after="60"/>
                    <w:rPr>
                      <w:rFonts w:ascii="Arial" w:hAnsi="Arial" w:cs="Arial"/>
                      <w:i/>
                    </w:rPr>
                  </w:pPr>
                </w:p>
              </w:tc>
              <w:tc>
                <w:tcPr>
                  <w:tcW w:w="2280" w:type="dxa"/>
                </w:tcPr>
                <w:p w14:paraId="1C1B2D16" w14:textId="77777777" w:rsidR="009705E7" w:rsidRPr="009705E7" w:rsidRDefault="009705E7" w:rsidP="009705E7">
                  <w:pPr>
                    <w:spacing w:before="60" w:after="60"/>
                    <w:rPr>
                      <w:rFonts w:ascii="Arial" w:hAnsi="Arial" w:cs="Arial"/>
                      <w:i/>
                    </w:rPr>
                  </w:pPr>
                  <w:r w:rsidRPr="009705E7">
                    <w:rPr>
                      <w:rFonts w:ascii="Arial" w:hAnsi="Arial" w:cs="Arial"/>
                      <w:i/>
                    </w:rPr>
                    <w:t>use as a new baseline</w:t>
                  </w:r>
                </w:p>
              </w:tc>
            </w:tr>
            <w:tr w:rsidR="009705E7" w:rsidRPr="009705E7" w14:paraId="2C3071AD" w14:textId="77777777" w:rsidTr="00A642C1">
              <w:trPr>
                <w:trHeight w:val="390"/>
              </w:trPr>
              <w:tc>
                <w:tcPr>
                  <w:tcW w:w="1881" w:type="dxa"/>
                </w:tcPr>
                <w:p w14:paraId="03F049ED" w14:textId="77777777" w:rsidR="009705E7" w:rsidRPr="009705E7" w:rsidRDefault="009705E7" w:rsidP="009705E7">
                  <w:pPr>
                    <w:spacing w:before="60" w:after="60"/>
                    <w:rPr>
                      <w:rFonts w:ascii="Arial" w:hAnsi="Arial" w:cs="Arial"/>
                      <w:i/>
                    </w:rPr>
                  </w:pPr>
                  <w:r w:rsidRPr="009705E7">
                    <w:rPr>
                      <w:rFonts w:ascii="Arial" w:hAnsi="Arial" w:cs="Arial"/>
                      <w:i/>
                    </w:rPr>
                    <w:t>LFTs</w:t>
                  </w:r>
                </w:p>
              </w:tc>
              <w:tc>
                <w:tcPr>
                  <w:tcW w:w="3705" w:type="dxa"/>
                </w:tcPr>
                <w:p w14:paraId="3450B708" w14:textId="77777777" w:rsidR="009705E7" w:rsidRPr="009705E7" w:rsidRDefault="009705E7" w:rsidP="009705E7">
                  <w:pPr>
                    <w:spacing w:before="60" w:after="60"/>
                    <w:rPr>
                      <w:rFonts w:ascii="Arial" w:hAnsi="Arial" w:cs="Arial"/>
                      <w:i/>
                    </w:rPr>
                  </w:pPr>
                  <w:r w:rsidRPr="009705E7">
                    <w:rPr>
                      <w:rFonts w:ascii="Arial" w:hAnsi="Arial" w:cs="Arial"/>
                      <w:i/>
                    </w:rPr>
                    <w:t>Prior to treatment</w:t>
                  </w:r>
                </w:p>
                <w:p w14:paraId="178A6EA6" w14:textId="77777777" w:rsidR="009705E7" w:rsidRPr="009705E7" w:rsidRDefault="009705E7" w:rsidP="009705E7">
                  <w:pPr>
                    <w:spacing w:before="60" w:after="60"/>
                    <w:rPr>
                      <w:rFonts w:ascii="Arial" w:hAnsi="Arial" w:cs="Arial"/>
                      <w:i/>
                    </w:rPr>
                  </w:pPr>
                  <w:r w:rsidRPr="009705E7">
                    <w:rPr>
                      <w:rFonts w:ascii="Arial" w:hAnsi="Arial" w:cs="Arial"/>
                      <w:i/>
                    </w:rPr>
                    <w:t>At week one</w:t>
                  </w:r>
                </w:p>
                <w:p w14:paraId="34C38762" w14:textId="77777777" w:rsidR="009705E7" w:rsidRPr="009705E7" w:rsidRDefault="009705E7" w:rsidP="009705E7">
                  <w:pPr>
                    <w:spacing w:before="60" w:after="60"/>
                    <w:rPr>
                      <w:rFonts w:ascii="Arial" w:hAnsi="Arial" w:cs="Arial"/>
                      <w:i/>
                    </w:rPr>
                  </w:pPr>
                  <w:r w:rsidRPr="009705E7">
                    <w:rPr>
                      <w:rFonts w:ascii="Arial" w:hAnsi="Arial" w:cs="Arial"/>
                      <w:i/>
                    </w:rPr>
                    <w:t>On a monthly basis for six months</w:t>
                  </w:r>
                </w:p>
                <w:p w14:paraId="4C2D9377" w14:textId="77777777" w:rsidR="009705E7" w:rsidRPr="009705E7" w:rsidRDefault="009705E7" w:rsidP="009705E7">
                  <w:pPr>
                    <w:spacing w:before="60" w:after="60"/>
                    <w:rPr>
                      <w:rFonts w:ascii="Arial" w:hAnsi="Arial" w:cs="Arial"/>
                      <w:i/>
                    </w:rPr>
                  </w:pPr>
                  <w:r w:rsidRPr="009705E7">
                    <w:rPr>
                      <w:rFonts w:ascii="Arial" w:hAnsi="Arial" w:cs="Arial"/>
                      <w:i/>
                    </w:rPr>
                    <w:t xml:space="preserve">At 9 months </w:t>
                  </w:r>
                </w:p>
                <w:p w14:paraId="0B7F2668" w14:textId="77777777" w:rsidR="009705E7" w:rsidRPr="009705E7" w:rsidRDefault="009705E7" w:rsidP="009705E7">
                  <w:pPr>
                    <w:spacing w:before="60" w:after="60"/>
                    <w:rPr>
                      <w:rFonts w:ascii="Arial" w:hAnsi="Arial" w:cs="Arial"/>
                      <w:i/>
                    </w:rPr>
                  </w:pPr>
                  <w:r w:rsidRPr="009705E7">
                    <w:rPr>
                      <w:rFonts w:ascii="Arial" w:hAnsi="Arial" w:cs="Arial"/>
                      <w:i/>
                    </w:rPr>
                    <w:t>At 12 months and  periodically thereafter</w:t>
                  </w:r>
                </w:p>
              </w:tc>
              <w:tc>
                <w:tcPr>
                  <w:tcW w:w="2793" w:type="dxa"/>
                </w:tcPr>
                <w:p w14:paraId="27F12605" w14:textId="77777777" w:rsidR="009705E7" w:rsidRPr="009705E7" w:rsidRDefault="009705E7" w:rsidP="009705E7">
                  <w:pPr>
                    <w:spacing w:before="60" w:after="60"/>
                    <w:rPr>
                      <w:rFonts w:ascii="Arial" w:hAnsi="Arial" w:cs="Arial"/>
                      <w:i/>
                    </w:rPr>
                  </w:pPr>
                  <w:r w:rsidRPr="009705E7">
                    <w:rPr>
                      <w:rFonts w:ascii="Arial" w:hAnsi="Arial" w:cs="Arial"/>
                      <w:i/>
                    </w:rPr>
                    <w:t>ALT levels &gt;3xULN</w:t>
                  </w:r>
                </w:p>
                <w:p w14:paraId="694C572B" w14:textId="77777777" w:rsidR="009705E7" w:rsidRPr="009705E7" w:rsidRDefault="009705E7" w:rsidP="009705E7">
                  <w:pPr>
                    <w:spacing w:before="60" w:after="60"/>
                    <w:rPr>
                      <w:rFonts w:ascii="Arial" w:hAnsi="Arial" w:cs="Arial"/>
                      <w:i/>
                    </w:rPr>
                  </w:pPr>
                  <w:r w:rsidRPr="009705E7">
                    <w:rPr>
                      <w:rFonts w:ascii="Arial" w:hAnsi="Arial" w:cs="Arial"/>
                      <w:i/>
                    </w:rPr>
                    <w:t xml:space="preserve">if still &gt;3xULN </w:t>
                  </w:r>
                </w:p>
                <w:p w14:paraId="30B90628" w14:textId="77777777" w:rsidR="009705E7" w:rsidRPr="009705E7" w:rsidRDefault="009705E7" w:rsidP="009705E7">
                  <w:pPr>
                    <w:spacing w:before="60" w:after="60"/>
                    <w:rPr>
                      <w:rFonts w:ascii="Arial" w:hAnsi="Arial" w:cs="Arial"/>
                      <w:i/>
                    </w:rPr>
                  </w:pPr>
                  <w:r w:rsidRPr="009705E7">
                    <w:rPr>
                      <w:rFonts w:ascii="Arial" w:hAnsi="Arial" w:cs="Arial"/>
                      <w:i/>
                    </w:rPr>
                    <w:t>ULN  = upper limit of normal</w:t>
                  </w:r>
                </w:p>
              </w:tc>
              <w:tc>
                <w:tcPr>
                  <w:tcW w:w="2280" w:type="dxa"/>
                </w:tcPr>
                <w:p w14:paraId="452DF7D6" w14:textId="77777777" w:rsidR="009705E7" w:rsidRPr="009705E7" w:rsidRDefault="009705E7" w:rsidP="009705E7">
                  <w:pPr>
                    <w:spacing w:before="60" w:after="60"/>
                    <w:rPr>
                      <w:rFonts w:ascii="Arial" w:hAnsi="Arial" w:cs="Arial"/>
                      <w:i/>
                    </w:rPr>
                  </w:pPr>
                  <w:r w:rsidRPr="009705E7">
                    <w:rPr>
                      <w:rFonts w:ascii="Arial" w:hAnsi="Arial" w:cs="Arial"/>
                      <w:i/>
                    </w:rPr>
                    <w:t>Retest</w:t>
                  </w:r>
                </w:p>
                <w:p w14:paraId="0F899547" w14:textId="77777777" w:rsidR="009705E7" w:rsidRPr="009705E7" w:rsidRDefault="009705E7" w:rsidP="009705E7">
                  <w:pPr>
                    <w:spacing w:before="60" w:after="60"/>
                    <w:rPr>
                      <w:rFonts w:ascii="Arial" w:hAnsi="Arial" w:cs="Arial"/>
                      <w:i/>
                    </w:rPr>
                  </w:pPr>
                  <w:r w:rsidRPr="009705E7">
                    <w:rPr>
                      <w:rFonts w:ascii="Arial" w:hAnsi="Arial" w:cs="Arial"/>
                      <w:i/>
                    </w:rPr>
                    <w:t>withdraw Dronedarone</w:t>
                  </w:r>
                </w:p>
              </w:tc>
            </w:tr>
            <w:tr w:rsidR="009705E7" w:rsidRPr="009705E7" w14:paraId="3F4CF91E" w14:textId="77777777" w:rsidTr="00A642C1">
              <w:trPr>
                <w:trHeight w:val="390"/>
              </w:trPr>
              <w:tc>
                <w:tcPr>
                  <w:tcW w:w="1881" w:type="dxa"/>
                </w:tcPr>
                <w:p w14:paraId="5985CC1E" w14:textId="77777777" w:rsidR="009705E7" w:rsidRPr="009705E7" w:rsidRDefault="009705E7" w:rsidP="009705E7">
                  <w:pPr>
                    <w:spacing w:before="60" w:after="60"/>
                    <w:rPr>
                      <w:rFonts w:ascii="Arial" w:hAnsi="Arial" w:cs="Arial"/>
                      <w:i/>
                    </w:rPr>
                  </w:pPr>
                  <w:r w:rsidRPr="009705E7">
                    <w:rPr>
                      <w:rFonts w:ascii="Arial" w:hAnsi="Arial" w:cs="Arial"/>
                      <w:i/>
                    </w:rPr>
                    <w:t>Dyspnoea, cough, swelling of legs</w:t>
                  </w:r>
                </w:p>
              </w:tc>
              <w:tc>
                <w:tcPr>
                  <w:tcW w:w="3705" w:type="dxa"/>
                </w:tcPr>
                <w:p w14:paraId="7CF485AB" w14:textId="77777777" w:rsidR="009705E7" w:rsidRPr="009705E7" w:rsidRDefault="009705E7" w:rsidP="009705E7">
                  <w:pPr>
                    <w:spacing w:before="60" w:after="60"/>
                    <w:rPr>
                      <w:rFonts w:ascii="Arial" w:hAnsi="Arial" w:cs="Arial"/>
                      <w:i/>
                    </w:rPr>
                  </w:pPr>
                  <w:r w:rsidRPr="009705E7">
                    <w:rPr>
                      <w:rFonts w:ascii="Arial" w:hAnsi="Arial" w:cs="Arial"/>
                      <w:i/>
                    </w:rPr>
                    <w:t>Observe patients regularly for signs or symptoms of new or worsening heart failure</w:t>
                  </w:r>
                </w:p>
              </w:tc>
              <w:tc>
                <w:tcPr>
                  <w:tcW w:w="2793" w:type="dxa"/>
                </w:tcPr>
                <w:p w14:paraId="4BB8EB1B" w14:textId="77777777" w:rsidR="009705E7" w:rsidRPr="009705E7" w:rsidRDefault="009705E7" w:rsidP="009705E7">
                  <w:pPr>
                    <w:spacing w:before="60" w:after="60"/>
                    <w:rPr>
                      <w:rFonts w:ascii="Arial" w:hAnsi="Arial" w:cs="Arial"/>
                      <w:i/>
                    </w:rPr>
                  </w:pPr>
                  <w:r w:rsidRPr="009705E7">
                    <w:rPr>
                      <w:rFonts w:ascii="Arial" w:hAnsi="Arial" w:cs="Arial"/>
                      <w:i/>
                    </w:rPr>
                    <w:t xml:space="preserve">Worsening HF </w:t>
                  </w:r>
                </w:p>
              </w:tc>
              <w:tc>
                <w:tcPr>
                  <w:tcW w:w="2280" w:type="dxa"/>
                </w:tcPr>
                <w:p w14:paraId="10203990" w14:textId="77777777" w:rsidR="009705E7" w:rsidRPr="009705E7" w:rsidRDefault="009705E7" w:rsidP="009705E7">
                  <w:pPr>
                    <w:spacing w:before="60" w:after="60"/>
                    <w:rPr>
                      <w:rFonts w:ascii="Arial" w:hAnsi="Arial" w:cs="Arial"/>
                      <w:i/>
                    </w:rPr>
                  </w:pPr>
                  <w:r w:rsidRPr="009705E7">
                    <w:rPr>
                      <w:rFonts w:ascii="Arial" w:hAnsi="Arial" w:cs="Arial"/>
                      <w:i/>
                    </w:rPr>
                    <w:t>Refer to consultant</w:t>
                  </w:r>
                </w:p>
              </w:tc>
            </w:tr>
          </w:tbl>
          <w:p w14:paraId="06FDC965" w14:textId="77777777" w:rsidR="009705E7" w:rsidRPr="009705E7" w:rsidRDefault="009705E7" w:rsidP="009705E7">
            <w:pPr>
              <w:spacing w:before="60" w:after="60"/>
              <w:rPr>
                <w:rFonts w:ascii="Arial" w:hAnsi="Arial" w:cs="Arial"/>
                <w:b/>
                <w:i/>
                <w:u w:val="single"/>
              </w:rPr>
            </w:pPr>
            <w:r w:rsidRPr="009705E7">
              <w:rPr>
                <w:rFonts w:ascii="Arial" w:hAnsi="Arial" w:cs="Arial"/>
                <w:b/>
                <w:i/>
                <w:u w:val="single"/>
              </w:rPr>
              <w:t>Efficacy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3135"/>
              <w:gridCol w:w="2109"/>
              <w:gridCol w:w="1998"/>
            </w:tblGrid>
            <w:tr w:rsidR="009705E7" w:rsidRPr="009705E7" w14:paraId="25B5107B" w14:textId="77777777" w:rsidTr="00A642C1">
              <w:trPr>
                <w:trHeight w:val="390"/>
              </w:trPr>
              <w:tc>
                <w:tcPr>
                  <w:tcW w:w="2964" w:type="dxa"/>
                  <w:tcBorders>
                    <w:bottom w:val="single" w:sz="18" w:space="0" w:color="auto"/>
                  </w:tcBorders>
                </w:tcPr>
                <w:p w14:paraId="5123E4D5" w14:textId="77777777" w:rsidR="009705E7" w:rsidRPr="009705E7" w:rsidRDefault="009705E7" w:rsidP="009705E7">
                  <w:pPr>
                    <w:spacing w:before="60" w:after="60"/>
                    <w:rPr>
                      <w:rFonts w:ascii="Arial" w:hAnsi="Arial" w:cs="Arial"/>
                      <w:b/>
                      <w:i/>
                    </w:rPr>
                  </w:pPr>
                  <w:r w:rsidRPr="009705E7">
                    <w:rPr>
                      <w:rFonts w:ascii="Arial" w:hAnsi="Arial" w:cs="Arial"/>
                      <w:b/>
                      <w:i/>
                    </w:rPr>
                    <w:t>Parameter</w:t>
                  </w:r>
                </w:p>
              </w:tc>
              <w:tc>
                <w:tcPr>
                  <w:tcW w:w="3135" w:type="dxa"/>
                  <w:tcBorders>
                    <w:bottom w:val="single" w:sz="18" w:space="0" w:color="auto"/>
                  </w:tcBorders>
                </w:tcPr>
                <w:p w14:paraId="690EA19C" w14:textId="77777777" w:rsidR="009705E7" w:rsidRPr="009705E7" w:rsidRDefault="009705E7" w:rsidP="009705E7">
                  <w:pPr>
                    <w:spacing w:before="60" w:after="60"/>
                    <w:rPr>
                      <w:rFonts w:ascii="Arial" w:hAnsi="Arial" w:cs="Arial"/>
                      <w:b/>
                      <w:i/>
                    </w:rPr>
                  </w:pPr>
                  <w:r w:rsidRPr="009705E7">
                    <w:rPr>
                      <w:rFonts w:ascii="Arial" w:hAnsi="Arial" w:cs="Arial"/>
                      <w:b/>
                      <w:i/>
                    </w:rPr>
                    <w:t>Frequency of Monitoring</w:t>
                  </w:r>
                </w:p>
              </w:tc>
              <w:tc>
                <w:tcPr>
                  <w:tcW w:w="2109" w:type="dxa"/>
                  <w:tcBorders>
                    <w:bottom w:val="single" w:sz="18" w:space="0" w:color="auto"/>
                  </w:tcBorders>
                </w:tcPr>
                <w:p w14:paraId="715ABC87" w14:textId="77777777" w:rsidR="009705E7" w:rsidRPr="009705E7" w:rsidRDefault="009705E7" w:rsidP="009705E7">
                  <w:pPr>
                    <w:spacing w:before="60" w:after="60"/>
                    <w:rPr>
                      <w:rFonts w:ascii="Arial" w:hAnsi="Arial" w:cs="Arial"/>
                      <w:b/>
                      <w:i/>
                    </w:rPr>
                  </w:pPr>
                  <w:r w:rsidRPr="009705E7">
                    <w:rPr>
                      <w:rFonts w:ascii="Arial" w:hAnsi="Arial" w:cs="Arial"/>
                      <w:b/>
                      <w:i/>
                    </w:rPr>
                    <w:t>Result</w:t>
                  </w:r>
                </w:p>
              </w:tc>
              <w:tc>
                <w:tcPr>
                  <w:tcW w:w="1998" w:type="dxa"/>
                  <w:tcBorders>
                    <w:bottom w:val="single" w:sz="18" w:space="0" w:color="auto"/>
                  </w:tcBorders>
                </w:tcPr>
                <w:p w14:paraId="40FF8599" w14:textId="77777777" w:rsidR="009705E7" w:rsidRPr="009705E7" w:rsidRDefault="009705E7" w:rsidP="009705E7">
                  <w:pPr>
                    <w:spacing w:before="60" w:after="60"/>
                    <w:rPr>
                      <w:rFonts w:ascii="Arial" w:hAnsi="Arial" w:cs="Arial"/>
                      <w:b/>
                      <w:i/>
                    </w:rPr>
                  </w:pPr>
                  <w:r w:rsidRPr="009705E7">
                    <w:rPr>
                      <w:rFonts w:ascii="Arial" w:hAnsi="Arial" w:cs="Arial"/>
                      <w:b/>
                      <w:i/>
                    </w:rPr>
                    <w:t>Action</w:t>
                  </w:r>
                </w:p>
              </w:tc>
            </w:tr>
            <w:tr w:rsidR="009705E7" w:rsidRPr="009705E7" w14:paraId="4F032CE8" w14:textId="77777777" w:rsidTr="00A642C1">
              <w:trPr>
                <w:trHeight w:val="390"/>
              </w:trPr>
              <w:tc>
                <w:tcPr>
                  <w:tcW w:w="2964" w:type="dxa"/>
                  <w:tcBorders>
                    <w:top w:val="single" w:sz="18" w:space="0" w:color="auto"/>
                  </w:tcBorders>
                </w:tcPr>
                <w:p w14:paraId="2E46069E" w14:textId="77777777" w:rsidR="009705E7" w:rsidRPr="009705E7" w:rsidRDefault="009705E7" w:rsidP="009705E7">
                  <w:pPr>
                    <w:spacing w:before="60" w:after="60"/>
                    <w:rPr>
                      <w:rFonts w:ascii="Arial" w:hAnsi="Arial" w:cs="Arial"/>
                      <w:i/>
                    </w:rPr>
                  </w:pPr>
                  <w:r w:rsidRPr="009705E7">
                    <w:rPr>
                      <w:rFonts w:ascii="Arial" w:hAnsi="Arial" w:cs="Arial"/>
                      <w:i/>
                    </w:rPr>
                    <w:t>ECG</w:t>
                  </w:r>
                </w:p>
              </w:tc>
              <w:tc>
                <w:tcPr>
                  <w:tcW w:w="3135" w:type="dxa"/>
                  <w:tcBorders>
                    <w:top w:val="single" w:sz="18" w:space="0" w:color="auto"/>
                  </w:tcBorders>
                </w:tcPr>
                <w:p w14:paraId="4F789D43" w14:textId="77777777" w:rsidR="009705E7" w:rsidRPr="009705E7" w:rsidRDefault="009705E7" w:rsidP="009705E7">
                  <w:pPr>
                    <w:spacing w:before="60" w:after="60"/>
                    <w:rPr>
                      <w:rFonts w:ascii="Arial" w:hAnsi="Arial" w:cs="Arial"/>
                      <w:i/>
                    </w:rPr>
                  </w:pPr>
                  <w:r w:rsidRPr="009705E7">
                    <w:rPr>
                      <w:rFonts w:ascii="Arial" w:hAnsi="Arial" w:cs="Arial"/>
                      <w:i/>
                    </w:rPr>
                    <w:t>For normalised sinus rhythm</w:t>
                  </w:r>
                </w:p>
              </w:tc>
              <w:tc>
                <w:tcPr>
                  <w:tcW w:w="2109" w:type="dxa"/>
                  <w:tcBorders>
                    <w:top w:val="single" w:sz="18" w:space="0" w:color="auto"/>
                  </w:tcBorders>
                </w:tcPr>
                <w:p w14:paraId="6135E037" w14:textId="77777777" w:rsidR="009705E7" w:rsidRPr="009705E7" w:rsidRDefault="009705E7" w:rsidP="009705E7">
                  <w:pPr>
                    <w:spacing w:before="60" w:after="60"/>
                    <w:rPr>
                      <w:rFonts w:ascii="Arial" w:hAnsi="Arial" w:cs="Arial"/>
                      <w:i/>
                    </w:rPr>
                  </w:pPr>
                </w:p>
              </w:tc>
              <w:tc>
                <w:tcPr>
                  <w:tcW w:w="1998" w:type="dxa"/>
                  <w:tcBorders>
                    <w:top w:val="single" w:sz="18" w:space="0" w:color="auto"/>
                  </w:tcBorders>
                </w:tcPr>
                <w:p w14:paraId="6AE785C1" w14:textId="77777777" w:rsidR="009705E7" w:rsidRPr="009705E7" w:rsidRDefault="009705E7" w:rsidP="009705E7">
                  <w:pPr>
                    <w:spacing w:before="60" w:after="60"/>
                    <w:rPr>
                      <w:rFonts w:ascii="Arial" w:hAnsi="Arial" w:cs="Arial"/>
                      <w:i/>
                    </w:rPr>
                  </w:pPr>
                </w:p>
              </w:tc>
            </w:tr>
            <w:tr w:rsidR="009705E7" w:rsidRPr="009705E7" w14:paraId="32F5F87C" w14:textId="77777777" w:rsidTr="00A642C1">
              <w:trPr>
                <w:trHeight w:val="390"/>
              </w:trPr>
              <w:tc>
                <w:tcPr>
                  <w:tcW w:w="2964" w:type="dxa"/>
                </w:tcPr>
                <w:p w14:paraId="47DE9A6B" w14:textId="77777777" w:rsidR="009705E7" w:rsidRPr="009705E7" w:rsidRDefault="009705E7" w:rsidP="009705E7">
                  <w:pPr>
                    <w:spacing w:before="60" w:after="60"/>
                    <w:rPr>
                      <w:rFonts w:ascii="Arial" w:hAnsi="Arial" w:cs="Arial"/>
                      <w:i/>
                    </w:rPr>
                  </w:pPr>
                </w:p>
              </w:tc>
              <w:tc>
                <w:tcPr>
                  <w:tcW w:w="3135" w:type="dxa"/>
                </w:tcPr>
                <w:p w14:paraId="41D6E86B" w14:textId="77777777" w:rsidR="009705E7" w:rsidRPr="009705E7" w:rsidRDefault="009705E7" w:rsidP="009705E7">
                  <w:pPr>
                    <w:spacing w:before="60" w:after="60"/>
                    <w:rPr>
                      <w:rFonts w:ascii="Arial" w:hAnsi="Arial" w:cs="Arial"/>
                      <w:i/>
                    </w:rPr>
                  </w:pPr>
                </w:p>
              </w:tc>
              <w:tc>
                <w:tcPr>
                  <w:tcW w:w="2109" w:type="dxa"/>
                </w:tcPr>
                <w:p w14:paraId="6C9F19C6" w14:textId="77777777" w:rsidR="009705E7" w:rsidRPr="009705E7" w:rsidRDefault="009705E7" w:rsidP="009705E7">
                  <w:pPr>
                    <w:spacing w:before="60" w:after="60"/>
                    <w:rPr>
                      <w:rFonts w:ascii="Arial" w:hAnsi="Arial" w:cs="Arial"/>
                      <w:i/>
                    </w:rPr>
                  </w:pPr>
                </w:p>
              </w:tc>
              <w:tc>
                <w:tcPr>
                  <w:tcW w:w="1998" w:type="dxa"/>
                </w:tcPr>
                <w:p w14:paraId="2EACB705" w14:textId="77777777" w:rsidR="009705E7" w:rsidRPr="009705E7" w:rsidRDefault="009705E7" w:rsidP="009705E7">
                  <w:pPr>
                    <w:spacing w:before="60" w:after="60"/>
                    <w:rPr>
                      <w:rFonts w:ascii="Arial" w:hAnsi="Arial" w:cs="Arial"/>
                      <w:i/>
                    </w:rPr>
                  </w:pPr>
                </w:p>
              </w:tc>
            </w:tr>
          </w:tbl>
          <w:p w14:paraId="214A7355" w14:textId="77777777" w:rsidR="000A3C5F" w:rsidRPr="000A3C5F" w:rsidRDefault="000A3C5F" w:rsidP="00CF7277">
            <w:pPr>
              <w:spacing w:before="60" w:after="60"/>
              <w:rPr>
                <w:rFonts w:ascii="Arial" w:hAnsi="Arial" w:cs="Arial"/>
                <w:i/>
              </w:rPr>
            </w:pPr>
          </w:p>
        </w:tc>
      </w:tr>
      <w:tr w:rsidR="000A3C5F" w14:paraId="2A4E711D" w14:textId="77777777" w:rsidTr="007A53D9">
        <w:tc>
          <w:tcPr>
            <w:tcW w:w="10575" w:type="dxa"/>
            <w:vAlign w:val="center"/>
          </w:tcPr>
          <w:p w14:paraId="238116A5" w14:textId="77777777" w:rsidR="000A3C5F" w:rsidRDefault="000A3C5F" w:rsidP="00CF7277">
            <w:pPr>
              <w:spacing w:before="60" w:after="60"/>
              <w:rPr>
                <w:rFonts w:ascii="Arial" w:hAnsi="Arial" w:cs="Arial"/>
                <w:b/>
              </w:rPr>
            </w:pPr>
            <w:r w:rsidRPr="005B77D8">
              <w:rPr>
                <w:rFonts w:ascii="Arial" w:hAnsi="Arial" w:cs="Arial"/>
                <w:b/>
              </w:rPr>
              <w:lastRenderedPageBreak/>
              <w:t>Drug Interactions</w:t>
            </w:r>
          </w:p>
        </w:tc>
      </w:tr>
      <w:tr w:rsidR="000A3C5F" w14:paraId="14648173" w14:textId="77777777" w:rsidTr="007A53D9">
        <w:tc>
          <w:tcPr>
            <w:tcW w:w="10575" w:type="dxa"/>
            <w:vAlign w:val="center"/>
          </w:tcPr>
          <w:p w14:paraId="1E562FB7" w14:textId="77777777" w:rsidR="009705E7" w:rsidRPr="009705E7" w:rsidRDefault="009705E7" w:rsidP="009705E7">
            <w:pPr>
              <w:spacing w:before="60" w:after="60"/>
              <w:rPr>
                <w:rFonts w:ascii="Arial" w:hAnsi="Arial" w:cs="Arial"/>
                <w:i/>
              </w:rPr>
            </w:pPr>
            <w:r w:rsidRPr="009705E7">
              <w:rPr>
                <w:rFonts w:ascii="Arial" w:hAnsi="Arial" w:cs="Arial"/>
                <w:i/>
              </w:rPr>
              <w:t xml:space="preserve">- Potent CYP3A4 inducers: such as rifampicin, phenobarbital, carbamazepine, phenytoin or St John’s Wort are not </w:t>
            </w:r>
            <w:r w:rsidRPr="009705E7">
              <w:rPr>
                <w:rFonts w:ascii="Arial" w:hAnsi="Arial" w:cs="Arial"/>
                <w:i/>
              </w:rPr>
              <w:lastRenderedPageBreak/>
              <w:t>recommended and ketoconazole, itraconazole, voriconazole, posaconazole, telithromycin, clarithromycin, nefadazone and ritonavir are contraindicated</w:t>
            </w:r>
          </w:p>
          <w:p w14:paraId="6B715293" w14:textId="77777777" w:rsidR="009705E7" w:rsidRPr="009705E7" w:rsidRDefault="009705E7" w:rsidP="009705E7">
            <w:pPr>
              <w:spacing w:before="60" w:after="60"/>
              <w:rPr>
                <w:rFonts w:ascii="Arial" w:hAnsi="Arial" w:cs="Arial"/>
                <w:b/>
                <w:i/>
                <w:u w:val="single"/>
              </w:rPr>
            </w:pPr>
          </w:p>
          <w:p w14:paraId="7579BC19" w14:textId="77777777" w:rsidR="009705E7" w:rsidRPr="009705E7" w:rsidRDefault="009705E7" w:rsidP="009705E7">
            <w:pPr>
              <w:spacing w:before="60" w:after="60"/>
              <w:rPr>
                <w:rFonts w:ascii="Arial" w:hAnsi="Arial" w:cs="Arial"/>
                <w:i/>
              </w:rPr>
            </w:pPr>
            <w:r w:rsidRPr="009705E7">
              <w:rPr>
                <w:rFonts w:ascii="Arial" w:hAnsi="Arial" w:cs="Arial"/>
                <w:i/>
              </w:rPr>
              <w:t xml:space="preserve">- Digoxin: Administration of dronedarone to patients receiving digoxin will bring about an increase in the plasma digoxin concentration and thus precipitate symptoms and signs associated with digoxin toxicity. A synergistic effect on heart rate and atrioventricular conduction is also possible. Halve the dose of digoxin. Clinical, ECG and digoxin blood level monitoring is recommended. </w:t>
            </w:r>
          </w:p>
          <w:p w14:paraId="5A31FE18" w14:textId="77777777" w:rsidR="009705E7" w:rsidRPr="009705E7" w:rsidRDefault="009705E7" w:rsidP="009705E7">
            <w:pPr>
              <w:spacing w:before="60" w:after="60"/>
              <w:rPr>
                <w:rFonts w:ascii="Arial" w:hAnsi="Arial" w:cs="Arial"/>
                <w:i/>
              </w:rPr>
            </w:pPr>
            <w:r w:rsidRPr="009705E7">
              <w:rPr>
                <w:rFonts w:ascii="Arial" w:hAnsi="Arial" w:cs="Arial"/>
                <w:i/>
              </w:rPr>
              <w:t xml:space="preserve"> </w:t>
            </w:r>
          </w:p>
          <w:p w14:paraId="4AEDD807" w14:textId="77777777" w:rsidR="009705E7" w:rsidRPr="009705E7" w:rsidRDefault="009705E7" w:rsidP="009705E7">
            <w:pPr>
              <w:spacing w:before="60" w:after="60"/>
              <w:rPr>
                <w:rFonts w:ascii="Arial" w:hAnsi="Arial" w:cs="Arial"/>
                <w:i/>
              </w:rPr>
            </w:pPr>
            <w:r w:rsidRPr="009705E7">
              <w:rPr>
                <w:rFonts w:ascii="Arial" w:hAnsi="Arial" w:cs="Arial"/>
                <w:i/>
              </w:rPr>
              <w:t>- Beta blockers and calcium antagonists: The co-administration of beta-blockers or calcium antagonists with depressant effect on sinus and atrio-ventricular node should be undertaken with caution. These medicinal products should be initiated at low dose and up-titration should be done only after ECG assessment. In patients already on calcium antagonists or beta blockers at time of dronedarone initiation, an ECG should be performed and the dose should be adjusted if needed</w:t>
            </w:r>
          </w:p>
          <w:p w14:paraId="2185614E" w14:textId="77777777" w:rsidR="009705E7" w:rsidRPr="009705E7" w:rsidRDefault="009705E7" w:rsidP="009705E7">
            <w:pPr>
              <w:spacing w:before="60" w:after="60"/>
              <w:rPr>
                <w:rFonts w:ascii="Arial" w:hAnsi="Arial" w:cs="Arial"/>
                <w:i/>
              </w:rPr>
            </w:pPr>
          </w:p>
          <w:p w14:paraId="14F2C23C" w14:textId="77777777" w:rsidR="009705E7" w:rsidRPr="009705E7" w:rsidRDefault="009705E7" w:rsidP="009705E7">
            <w:pPr>
              <w:spacing w:before="60" w:after="60"/>
              <w:rPr>
                <w:rFonts w:ascii="Arial" w:hAnsi="Arial" w:cs="Arial"/>
                <w:i/>
              </w:rPr>
            </w:pPr>
            <w:r w:rsidRPr="009705E7">
              <w:rPr>
                <w:rFonts w:ascii="Arial" w:hAnsi="Arial" w:cs="Arial"/>
                <w:i/>
              </w:rPr>
              <w:t>- Statins: Statins should be used with caution. Lower starting dose and maintenance doses of statins should be considered and patients monitored for clinical signs of muscular toxicity</w:t>
            </w:r>
          </w:p>
          <w:p w14:paraId="4012238E" w14:textId="77777777" w:rsidR="009705E7" w:rsidRPr="009705E7" w:rsidRDefault="009705E7" w:rsidP="009705E7">
            <w:pPr>
              <w:spacing w:before="60" w:after="60"/>
              <w:rPr>
                <w:rFonts w:ascii="Arial" w:hAnsi="Arial" w:cs="Arial"/>
                <w:i/>
              </w:rPr>
            </w:pPr>
          </w:p>
          <w:p w14:paraId="12EADB6D" w14:textId="77777777" w:rsidR="009705E7" w:rsidRPr="009705E7" w:rsidRDefault="009705E7" w:rsidP="009705E7">
            <w:pPr>
              <w:spacing w:before="60" w:after="60"/>
              <w:rPr>
                <w:rFonts w:ascii="Arial" w:hAnsi="Arial" w:cs="Arial"/>
                <w:i/>
              </w:rPr>
            </w:pPr>
            <w:r w:rsidRPr="009705E7">
              <w:rPr>
                <w:rFonts w:ascii="Arial" w:hAnsi="Arial" w:cs="Arial"/>
                <w:i/>
              </w:rPr>
              <w:t xml:space="preserve">- </w:t>
            </w:r>
            <w:r w:rsidR="007325E2" w:rsidRPr="009705E7">
              <w:rPr>
                <w:rFonts w:ascii="Arial" w:hAnsi="Arial" w:cs="Arial"/>
                <w:i/>
              </w:rPr>
              <w:t>Grapefruit</w:t>
            </w:r>
            <w:r w:rsidRPr="009705E7">
              <w:rPr>
                <w:rFonts w:ascii="Arial" w:hAnsi="Arial" w:cs="Arial"/>
                <w:i/>
              </w:rPr>
              <w:t xml:space="preserve"> juice: Patients should be warned to avoid grapefruit juice beverages while taking dronedarone</w:t>
            </w:r>
          </w:p>
          <w:p w14:paraId="56F09A18" w14:textId="77777777" w:rsidR="009705E7" w:rsidRPr="009705E7" w:rsidRDefault="009705E7" w:rsidP="009705E7">
            <w:pPr>
              <w:spacing w:before="60" w:after="60"/>
              <w:rPr>
                <w:rFonts w:ascii="Arial" w:hAnsi="Arial" w:cs="Arial"/>
                <w:i/>
              </w:rPr>
            </w:pPr>
          </w:p>
          <w:p w14:paraId="67547F15" w14:textId="77777777" w:rsidR="009705E7" w:rsidRPr="009705E7" w:rsidRDefault="009705E7" w:rsidP="009705E7">
            <w:pPr>
              <w:spacing w:before="60" w:after="60"/>
              <w:rPr>
                <w:rFonts w:ascii="Arial" w:hAnsi="Arial" w:cs="Arial"/>
                <w:i/>
              </w:rPr>
            </w:pPr>
            <w:r w:rsidRPr="009705E7">
              <w:rPr>
                <w:rFonts w:ascii="Arial" w:hAnsi="Arial" w:cs="Arial"/>
                <w:i/>
              </w:rPr>
              <w:t>- Dabigatran: The co</w:t>
            </w:r>
            <w:r w:rsidR="007325E2">
              <w:rPr>
                <w:rFonts w:ascii="Arial" w:hAnsi="Arial" w:cs="Arial"/>
                <w:i/>
              </w:rPr>
              <w:t>-</w:t>
            </w:r>
            <w:r w:rsidRPr="009705E7">
              <w:rPr>
                <w:rFonts w:ascii="Arial" w:hAnsi="Arial" w:cs="Arial"/>
                <w:i/>
              </w:rPr>
              <w:t xml:space="preserve">administration of dronedarone with dabigatran is not recommended </w:t>
            </w:r>
          </w:p>
          <w:p w14:paraId="2F9C25D7" w14:textId="77777777" w:rsidR="000A3C5F" w:rsidRPr="000A3C5F" w:rsidRDefault="000A3C5F" w:rsidP="00CF7277">
            <w:pPr>
              <w:spacing w:before="60" w:after="60"/>
              <w:rPr>
                <w:rFonts w:ascii="Arial" w:hAnsi="Arial" w:cs="Arial"/>
                <w:i/>
              </w:rPr>
            </w:pPr>
          </w:p>
        </w:tc>
      </w:tr>
      <w:tr w:rsidR="000A3C5F" w14:paraId="5C79C111" w14:textId="77777777" w:rsidTr="007A53D9">
        <w:tc>
          <w:tcPr>
            <w:tcW w:w="10575" w:type="dxa"/>
            <w:vAlign w:val="center"/>
          </w:tcPr>
          <w:p w14:paraId="6EC6D22B" w14:textId="77777777" w:rsidR="000A3C5F" w:rsidRDefault="000A3C5F" w:rsidP="00CF7277">
            <w:pPr>
              <w:pStyle w:val="BodyTextIndent"/>
              <w:spacing w:before="60" w:after="60"/>
              <w:ind w:left="0" w:firstLine="0"/>
              <w:rPr>
                <w:rFonts w:cs="Arial"/>
                <w:b/>
              </w:rPr>
            </w:pPr>
            <w:r w:rsidRPr="005B77D8">
              <w:rPr>
                <w:rFonts w:cs="Arial"/>
                <w:b/>
              </w:rPr>
              <w:lastRenderedPageBreak/>
              <w:t>Vaccination</w:t>
            </w:r>
          </w:p>
        </w:tc>
      </w:tr>
      <w:tr w:rsidR="000A3C5F" w14:paraId="39C4A0C2" w14:textId="77777777" w:rsidTr="007A53D9">
        <w:tc>
          <w:tcPr>
            <w:tcW w:w="10575" w:type="dxa"/>
            <w:vAlign w:val="center"/>
          </w:tcPr>
          <w:p w14:paraId="45F09659" w14:textId="77777777" w:rsidR="000A3C5F" w:rsidRPr="000A3C5F" w:rsidRDefault="000A3C5F" w:rsidP="00CF7277">
            <w:pPr>
              <w:pStyle w:val="BodyTextIndent"/>
              <w:spacing w:before="60" w:after="60"/>
              <w:ind w:left="0" w:firstLine="0"/>
              <w:rPr>
                <w:rFonts w:cs="Arial"/>
              </w:rPr>
            </w:pPr>
            <w:r w:rsidRPr="005B77D8">
              <w:rPr>
                <w:rFonts w:cs="Arial"/>
              </w:rPr>
              <w:t>The use of LIVE vaccine is not recommended during drug treatment with immunosuppressant drugs.</w:t>
            </w:r>
            <w:r w:rsidR="00CF7277">
              <w:rPr>
                <w:rFonts w:cs="Arial"/>
              </w:rPr>
              <w:t xml:space="preserve">  </w:t>
            </w:r>
            <w:r w:rsidR="00CF7277" w:rsidRPr="009A3764">
              <w:rPr>
                <w:rFonts w:cs="Arial"/>
                <w:i/>
              </w:rPr>
              <w:t>This section may be excluded if the shared care agreement related to a drug which is not an immunosuppressant.</w:t>
            </w:r>
          </w:p>
        </w:tc>
      </w:tr>
    </w:tbl>
    <w:p w14:paraId="475816CE" w14:textId="77777777" w:rsidR="00242927" w:rsidRPr="005B77D8" w:rsidRDefault="00242927" w:rsidP="00CF7277">
      <w:pPr>
        <w:pStyle w:val="BodyTextIndent"/>
        <w:spacing w:before="120"/>
        <w:ind w:left="0" w:firstLine="0"/>
        <w:rPr>
          <w:rFonts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758"/>
        <w:gridCol w:w="1274"/>
        <w:gridCol w:w="6649"/>
      </w:tblGrid>
      <w:tr w:rsidR="000A3C5F" w:rsidRPr="005B77D8" w14:paraId="6EFEEE29" w14:textId="77777777" w:rsidTr="007A53D9">
        <w:trPr>
          <w:trHeight w:val="207"/>
        </w:trPr>
        <w:tc>
          <w:tcPr>
            <w:tcW w:w="10632" w:type="dxa"/>
            <w:gridSpan w:val="4"/>
          </w:tcPr>
          <w:p w14:paraId="196FBEFF" w14:textId="77777777" w:rsidR="000A3C5F" w:rsidRPr="000A3C5F" w:rsidRDefault="000A3C5F" w:rsidP="000A3C5F">
            <w:pPr>
              <w:pStyle w:val="BodyTextIndent"/>
              <w:spacing w:before="120"/>
              <w:rPr>
                <w:rFonts w:cs="Arial"/>
                <w:b/>
              </w:rPr>
            </w:pPr>
            <w:r w:rsidRPr="005B77D8">
              <w:rPr>
                <w:rFonts w:cs="Arial"/>
                <w:b/>
              </w:rPr>
              <w:t>Version Control</w:t>
            </w:r>
          </w:p>
        </w:tc>
      </w:tr>
      <w:tr w:rsidR="000A3C5F" w:rsidRPr="005B77D8" w14:paraId="0E08C04A" w14:textId="77777777" w:rsidTr="007A53D9">
        <w:trPr>
          <w:trHeight w:val="207"/>
        </w:trPr>
        <w:tc>
          <w:tcPr>
            <w:tcW w:w="933" w:type="dxa"/>
          </w:tcPr>
          <w:p w14:paraId="45039D92" w14:textId="77777777" w:rsidR="000A3C5F" w:rsidRPr="005B77D8" w:rsidRDefault="000A3C5F" w:rsidP="00640B94">
            <w:pPr>
              <w:pStyle w:val="BodyTextIndent"/>
              <w:spacing w:before="120" w:after="120"/>
              <w:ind w:left="0" w:firstLine="0"/>
              <w:rPr>
                <w:rFonts w:cs="Arial"/>
                <w:b/>
                <w:bCs/>
              </w:rPr>
            </w:pPr>
            <w:r w:rsidRPr="005B77D8">
              <w:rPr>
                <w:rFonts w:cs="Arial"/>
                <w:b/>
                <w:bCs/>
              </w:rPr>
              <w:t>Version</w:t>
            </w:r>
          </w:p>
        </w:tc>
        <w:tc>
          <w:tcPr>
            <w:tcW w:w="1761" w:type="dxa"/>
          </w:tcPr>
          <w:p w14:paraId="36C0BB7D" w14:textId="77777777" w:rsidR="000A3C5F" w:rsidRPr="005B77D8" w:rsidRDefault="000A3C5F" w:rsidP="00640B94">
            <w:pPr>
              <w:pStyle w:val="BodyTextIndent"/>
              <w:spacing w:before="120" w:after="120"/>
              <w:ind w:left="0" w:firstLine="0"/>
              <w:rPr>
                <w:rFonts w:cs="Arial"/>
                <w:b/>
                <w:bCs/>
              </w:rPr>
            </w:pPr>
            <w:r w:rsidRPr="005B77D8">
              <w:rPr>
                <w:rFonts w:cs="Arial"/>
                <w:b/>
                <w:bCs/>
              </w:rPr>
              <w:t>Date of Issue</w:t>
            </w:r>
          </w:p>
        </w:tc>
        <w:tc>
          <w:tcPr>
            <w:tcW w:w="1275" w:type="dxa"/>
          </w:tcPr>
          <w:p w14:paraId="1AE56EE6" w14:textId="77777777" w:rsidR="000A3C5F" w:rsidRPr="005B77D8" w:rsidRDefault="000A3C5F" w:rsidP="00640B94">
            <w:pPr>
              <w:pStyle w:val="BodyTextIndent"/>
              <w:spacing w:before="120" w:after="120"/>
              <w:ind w:left="0" w:firstLine="0"/>
              <w:rPr>
                <w:rFonts w:cs="Arial"/>
                <w:b/>
                <w:bCs/>
              </w:rPr>
            </w:pPr>
            <w:r w:rsidRPr="005B77D8">
              <w:rPr>
                <w:rFonts w:cs="Arial"/>
                <w:b/>
                <w:bCs/>
              </w:rPr>
              <w:t>Author/s</w:t>
            </w:r>
          </w:p>
        </w:tc>
        <w:tc>
          <w:tcPr>
            <w:tcW w:w="6663" w:type="dxa"/>
          </w:tcPr>
          <w:p w14:paraId="6EDC21C7" w14:textId="77777777" w:rsidR="000A3C5F" w:rsidRPr="005B77D8" w:rsidRDefault="000A3C5F" w:rsidP="00640B94">
            <w:pPr>
              <w:pStyle w:val="BodyTextIndent"/>
              <w:spacing w:before="120" w:after="120"/>
              <w:ind w:left="0" w:firstLine="0"/>
              <w:rPr>
                <w:rFonts w:cs="Arial"/>
                <w:b/>
                <w:bCs/>
              </w:rPr>
            </w:pPr>
            <w:r w:rsidRPr="005B77D8">
              <w:rPr>
                <w:rFonts w:cs="Arial"/>
                <w:b/>
                <w:bCs/>
              </w:rPr>
              <w:t>Brief Description of Changes</w:t>
            </w:r>
          </w:p>
        </w:tc>
      </w:tr>
      <w:tr w:rsidR="000A3C5F" w:rsidRPr="005B77D8" w14:paraId="33D97FAF" w14:textId="77777777" w:rsidTr="007A53D9">
        <w:trPr>
          <w:trHeight w:val="291"/>
        </w:trPr>
        <w:tc>
          <w:tcPr>
            <w:tcW w:w="933" w:type="dxa"/>
            <w:vAlign w:val="center"/>
          </w:tcPr>
          <w:p w14:paraId="00C58711" w14:textId="77777777" w:rsidR="000A3C5F" w:rsidRPr="005B77D8" w:rsidRDefault="000A3C5F" w:rsidP="00510BCB">
            <w:pPr>
              <w:pStyle w:val="BodyTextIndent"/>
              <w:spacing w:before="120" w:after="120"/>
              <w:ind w:left="0" w:firstLine="0"/>
              <w:rPr>
                <w:rFonts w:cs="Arial"/>
                <w:bCs/>
              </w:rPr>
            </w:pPr>
            <w:r w:rsidRPr="005B77D8">
              <w:rPr>
                <w:rFonts w:cs="Arial"/>
                <w:bCs/>
              </w:rPr>
              <w:t>1.0</w:t>
            </w:r>
          </w:p>
        </w:tc>
        <w:tc>
          <w:tcPr>
            <w:tcW w:w="1761" w:type="dxa"/>
            <w:vAlign w:val="center"/>
          </w:tcPr>
          <w:p w14:paraId="34DB42C9" w14:textId="77777777" w:rsidR="000A3C5F" w:rsidRPr="005B77D8" w:rsidRDefault="000A3C5F" w:rsidP="00510BCB">
            <w:pPr>
              <w:pStyle w:val="BodyTextIndent"/>
              <w:spacing w:before="120" w:after="120"/>
              <w:ind w:left="0" w:firstLine="0"/>
              <w:rPr>
                <w:rFonts w:cs="Arial"/>
                <w:bCs/>
              </w:rPr>
            </w:pPr>
          </w:p>
        </w:tc>
        <w:tc>
          <w:tcPr>
            <w:tcW w:w="1275" w:type="dxa"/>
            <w:vAlign w:val="center"/>
          </w:tcPr>
          <w:p w14:paraId="5A9DE7EB" w14:textId="77777777" w:rsidR="000A3C5F" w:rsidRPr="005B77D8" w:rsidRDefault="000A3C5F" w:rsidP="00510BCB">
            <w:pPr>
              <w:pStyle w:val="BodyTextIndent"/>
              <w:spacing w:before="120" w:after="120"/>
              <w:ind w:left="0" w:firstLine="0"/>
              <w:rPr>
                <w:rFonts w:cs="Arial"/>
                <w:bCs/>
              </w:rPr>
            </w:pPr>
          </w:p>
        </w:tc>
        <w:tc>
          <w:tcPr>
            <w:tcW w:w="6663" w:type="dxa"/>
            <w:vAlign w:val="center"/>
          </w:tcPr>
          <w:p w14:paraId="76D711F9" w14:textId="77777777" w:rsidR="000A3C5F" w:rsidRPr="005B77D8" w:rsidRDefault="000A3C5F" w:rsidP="00510BCB">
            <w:pPr>
              <w:pStyle w:val="BodyTextIndent"/>
              <w:spacing w:before="120" w:after="120"/>
              <w:ind w:left="0" w:firstLine="0"/>
              <w:rPr>
                <w:rFonts w:cs="Arial"/>
                <w:bCs/>
              </w:rPr>
            </w:pPr>
          </w:p>
        </w:tc>
      </w:tr>
    </w:tbl>
    <w:p w14:paraId="3A042ABA" w14:textId="77777777" w:rsidR="00242927" w:rsidRPr="005B77D8" w:rsidRDefault="00242927" w:rsidP="005B77D8">
      <w:pPr>
        <w:pStyle w:val="BodyTextIndent"/>
        <w:spacing w:before="120"/>
        <w:ind w:left="0" w:firstLine="0"/>
        <w:rPr>
          <w:rFonts w:cs="Arial"/>
        </w:rPr>
      </w:pPr>
    </w:p>
    <w:p w14:paraId="4CE7E65B" w14:textId="77777777" w:rsidR="00BC4A4D" w:rsidRPr="005B77D8" w:rsidRDefault="00BC4A4D" w:rsidP="005B77D8">
      <w:pPr>
        <w:pStyle w:val="BodyTextIndent"/>
        <w:spacing w:before="120"/>
        <w:rPr>
          <w:rFonts w:cs="Arial"/>
          <w:b/>
        </w:rPr>
      </w:pPr>
    </w:p>
    <w:p w14:paraId="777D0127" w14:textId="77777777" w:rsidR="00BC4A4D" w:rsidRPr="005B77D8" w:rsidRDefault="00BC4A4D">
      <w:pPr>
        <w:pStyle w:val="BodyTextIndent"/>
        <w:rPr>
          <w:rFonts w:cs="Arial"/>
          <w:b/>
        </w:rPr>
      </w:pPr>
    </w:p>
    <w:sectPr w:rsidR="00BC4A4D" w:rsidRPr="005B77D8" w:rsidSect="00891143">
      <w:headerReference w:type="even" r:id="rId10"/>
      <w:headerReference w:type="default" r:id="rId11"/>
      <w:footerReference w:type="default" r:id="rId12"/>
      <w:headerReference w:type="first" r:id="rId13"/>
      <w:footerReference w:type="first" r:id="rId14"/>
      <w:type w:val="continuous"/>
      <w:pgSz w:w="11907" w:h="16840" w:code="9"/>
      <w:pgMar w:top="2977" w:right="720" w:bottom="851" w:left="720" w:header="403" w:footer="1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507D" w14:textId="77777777" w:rsidR="00DB160F" w:rsidRDefault="00DB160F">
      <w:r>
        <w:separator/>
      </w:r>
    </w:p>
  </w:endnote>
  <w:endnote w:type="continuationSeparator" w:id="0">
    <w:p w14:paraId="073E05D7" w14:textId="77777777" w:rsidR="00DB160F" w:rsidRDefault="00DB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vOTb7819099">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Ligh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417" w14:textId="77777777" w:rsidR="00640B94" w:rsidRPr="003355B9" w:rsidRDefault="00640B94" w:rsidP="002F1B08">
    <w:pPr>
      <w:pStyle w:val="Footer"/>
      <w:tabs>
        <w:tab w:val="clear" w:pos="8306"/>
        <w:tab w:val="right" w:pos="10490"/>
      </w:tabs>
      <w:jc w:val="center"/>
      <w:rPr>
        <w:rFonts w:ascii="Arial" w:hAnsi="Arial" w:cs="Arial"/>
        <w:i/>
        <w:iCs/>
        <w:sz w:val="16"/>
        <w:szCs w:val="16"/>
      </w:rPr>
    </w:pPr>
    <w:r w:rsidRPr="003355B9">
      <w:rPr>
        <w:rFonts w:ascii="Arial" w:hAnsi="Arial" w:cs="Arial"/>
        <w:i/>
        <w:iCs/>
        <w:sz w:val="16"/>
        <w:szCs w:val="16"/>
      </w:rPr>
      <w:t>This Shared Care Agreement should be read in conjunction with the Summary of Product Characteristics (SPC) for</w:t>
    </w:r>
    <w:r>
      <w:rPr>
        <w:rFonts w:ascii="Arial" w:hAnsi="Arial" w:cs="Arial"/>
        <w:i/>
        <w:iCs/>
        <w:sz w:val="16"/>
        <w:szCs w:val="16"/>
      </w:rPr>
      <w:t xml:space="preserve"> </w:t>
    </w:r>
    <w:r w:rsidR="00C23082">
      <w:rPr>
        <w:rFonts w:ascii="Arial" w:hAnsi="Arial" w:cs="Arial"/>
        <w:i/>
        <w:iCs/>
        <w:sz w:val="16"/>
        <w:szCs w:val="16"/>
      </w:rPr>
      <w:t>dronedarone</w:t>
    </w:r>
  </w:p>
  <w:p w14:paraId="21D788A8" w14:textId="77777777" w:rsidR="00640B94" w:rsidRPr="003355B9" w:rsidRDefault="00640B94" w:rsidP="002F1B08">
    <w:pPr>
      <w:pStyle w:val="Footer"/>
      <w:tabs>
        <w:tab w:val="clear" w:pos="8306"/>
        <w:tab w:val="right" w:pos="10490"/>
      </w:tabs>
      <w:rPr>
        <w:rFonts w:ascii="Arial" w:hAnsi="Arial" w:cs="Arial"/>
      </w:rPr>
    </w:pPr>
    <w:r w:rsidRPr="003355B9">
      <w:rPr>
        <w:rFonts w:ascii="Arial" w:hAnsi="Arial" w:cs="Arial"/>
        <w:sz w:val="18"/>
        <w:szCs w:val="18"/>
      </w:rPr>
      <w:t>Date approved:</w:t>
    </w:r>
    <w:r w:rsidR="00C23082">
      <w:rPr>
        <w:rFonts w:ascii="Arial" w:hAnsi="Arial" w:cs="Arial"/>
        <w:sz w:val="18"/>
        <w:szCs w:val="18"/>
      </w:rPr>
      <w:t xml:space="preserve"> February 2013</w:t>
    </w:r>
    <w:r w:rsidRPr="003355B9">
      <w:rPr>
        <w:rFonts w:ascii="Arial" w:hAnsi="Arial" w:cs="Arial"/>
        <w:sz w:val="18"/>
        <w:szCs w:val="18"/>
      </w:rPr>
      <w:tab/>
    </w:r>
    <w:r w:rsidRPr="003355B9">
      <w:rPr>
        <w:rFonts w:ascii="Arial" w:hAnsi="Arial" w:cs="Arial"/>
        <w:sz w:val="18"/>
        <w:szCs w:val="18"/>
      </w:rPr>
      <w:tab/>
    </w:r>
    <w:r w:rsidR="009A1DAA" w:rsidRPr="009A1DAA">
      <w:rPr>
        <w:rFonts w:ascii="Arial" w:hAnsi="Arial" w:cs="Arial"/>
        <w:sz w:val="18"/>
        <w:szCs w:val="18"/>
      </w:rPr>
      <w:t>Expiry date:  31/12/2017</w:t>
    </w:r>
  </w:p>
  <w:p w14:paraId="64A26A13" w14:textId="77777777" w:rsidR="00640B94" w:rsidRPr="002F1B08" w:rsidRDefault="00640B94" w:rsidP="002F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E2D2" w14:textId="77777777" w:rsidR="00640B94" w:rsidRDefault="00640B94" w:rsidP="003355B9">
    <w:pPr>
      <w:pStyle w:val="Default"/>
    </w:pPr>
  </w:p>
  <w:p w14:paraId="0ADD66F6" w14:textId="77777777" w:rsidR="00640B94" w:rsidRPr="003355B9" w:rsidRDefault="00640B94" w:rsidP="003355B9">
    <w:pPr>
      <w:pStyle w:val="Footer"/>
      <w:tabs>
        <w:tab w:val="clear" w:pos="8306"/>
        <w:tab w:val="right" w:pos="10490"/>
      </w:tabs>
      <w:jc w:val="center"/>
      <w:rPr>
        <w:rFonts w:ascii="Arial" w:hAnsi="Arial" w:cs="Arial"/>
        <w:i/>
        <w:iCs/>
        <w:sz w:val="16"/>
        <w:szCs w:val="16"/>
      </w:rPr>
    </w:pPr>
    <w:r w:rsidRPr="003355B9">
      <w:rPr>
        <w:rFonts w:ascii="Arial" w:hAnsi="Arial" w:cs="Arial"/>
        <w:i/>
        <w:iCs/>
        <w:sz w:val="16"/>
        <w:szCs w:val="16"/>
      </w:rPr>
      <w:t>This Shared Care Agreement should be read in conjunction with the Summary of Product Characteristics (SPC) for</w:t>
    </w:r>
    <w:r>
      <w:rPr>
        <w:rFonts w:ascii="Arial" w:hAnsi="Arial" w:cs="Arial"/>
        <w:i/>
        <w:iCs/>
        <w:sz w:val="16"/>
        <w:szCs w:val="16"/>
      </w:rPr>
      <w:t xml:space="preserve"> ***</w:t>
    </w:r>
  </w:p>
  <w:p w14:paraId="6AC3A895" w14:textId="77777777" w:rsidR="00640B94" w:rsidRPr="003355B9" w:rsidRDefault="00640B94" w:rsidP="003355B9">
    <w:pPr>
      <w:pStyle w:val="Footer"/>
      <w:tabs>
        <w:tab w:val="clear" w:pos="8306"/>
        <w:tab w:val="right" w:pos="10490"/>
      </w:tabs>
      <w:rPr>
        <w:rFonts w:ascii="Arial" w:hAnsi="Arial" w:cs="Arial"/>
      </w:rPr>
    </w:pPr>
    <w:r w:rsidRPr="003355B9">
      <w:rPr>
        <w:rFonts w:ascii="Arial" w:hAnsi="Arial" w:cs="Arial"/>
        <w:sz w:val="18"/>
        <w:szCs w:val="18"/>
      </w:rPr>
      <w:t>Date approved:</w:t>
    </w:r>
    <w:r w:rsidRPr="003355B9">
      <w:rPr>
        <w:rFonts w:ascii="Arial" w:hAnsi="Arial" w:cs="Arial"/>
        <w:sz w:val="18"/>
        <w:szCs w:val="18"/>
      </w:rPr>
      <w:tab/>
    </w:r>
    <w:r w:rsidRPr="003355B9">
      <w:rPr>
        <w:rFonts w:ascii="Arial" w:hAnsi="Arial" w:cs="Arial"/>
        <w:sz w:val="18"/>
        <w:szCs w:val="18"/>
      </w:rPr>
      <w:tab/>
      <w:t xml:space="preserve">Expiry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608" w14:textId="77777777" w:rsidR="00DB160F" w:rsidRDefault="00DB160F">
      <w:r>
        <w:separator/>
      </w:r>
    </w:p>
  </w:footnote>
  <w:footnote w:type="continuationSeparator" w:id="0">
    <w:p w14:paraId="735688BF" w14:textId="77777777" w:rsidR="00DB160F" w:rsidRDefault="00DB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EB2" w14:textId="77777777" w:rsidR="00640B94" w:rsidRDefault="001D0F23">
    <w:pPr>
      <w:pStyle w:val="Header"/>
    </w:pPr>
    <w:r>
      <w:rPr>
        <w:noProof/>
      </w:rPr>
      <w:pict w14:anchorId="78E0D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3251" o:spid="_x0000_s2050" type="#_x0000_t136" style="position:absolute;margin-left:0;margin-top:0;width:655.9pt;height:81.95pt;rotation:315;z-index:-251655168;mso-position-horizontal:center;mso-position-horizontal-relative:margin;mso-position-vertical:center;mso-position-vertical-relative:margin" o:allowincell="f" fillcolor="silver" stroked="f">
          <v:fill opacity=".5"/>
          <v:textpath style="font-family:&quot;HelvLight&quot;;font-size:1pt" string="Draft (version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3720"/>
      <w:gridCol w:w="2933"/>
      <w:gridCol w:w="4027"/>
    </w:tblGrid>
    <w:tr w:rsidR="00640B94" w14:paraId="3E00C3B1" w14:textId="77777777" w:rsidTr="00640B94">
      <w:tc>
        <w:tcPr>
          <w:tcW w:w="3720" w:type="dxa"/>
        </w:tcPr>
        <w:p w14:paraId="6ABB971E" w14:textId="77777777" w:rsidR="00640B94" w:rsidRPr="00324517" w:rsidRDefault="00640B94" w:rsidP="00640B94">
          <w:pPr>
            <w:pStyle w:val="BodyText"/>
            <w:ind w:left="492" w:hanging="492"/>
            <w:jc w:val="left"/>
            <w:rPr>
              <w:rFonts w:ascii="Arial" w:hAnsi="Arial" w:cs="Arial"/>
              <w:b/>
              <w:i w:val="0"/>
              <w:color w:val="808080"/>
              <w:sz w:val="24"/>
              <w:szCs w:val="24"/>
            </w:rPr>
          </w:pPr>
          <w:r w:rsidRPr="00324517">
            <w:rPr>
              <w:rFonts w:ascii="Arial" w:hAnsi="Arial" w:cs="Arial"/>
              <w:b/>
              <w:i w:val="0"/>
              <w:color w:val="808080"/>
              <w:sz w:val="24"/>
              <w:szCs w:val="24"/>
            </w:rPr>
            <w:t>Royal Wolverhampton</w:t>
          </w:r>
        </w:p>
        <w:p w14:paraId="39A13BFB" w14:textId="77777777" w:rsidR="00640B94" w:rsidRPr="00324517" w:rsidRDefault="00640B94" w:rsidP="00640B94">
          <w:pPr>
            <w:pStyle w:val="BodyText"/>
            <w:ind w:left="492" w:hanging="492"/>
            <w:jc w:val="left"/>
            <w:rPr>
              <w:rFonts w:ascii="Arial" w:hAnsi="Arial" w:cs="Arial"/>
              <w:i w:val="0"/>
              <w:color w:val="0000FF"/>
              <w:sz w:val="24"/>
            </w:rPr>
          </w:pPr>
          <w:r w:rsidRPr="00324517">
            <w:rPr>
              <w:rFonts w:ascii="Arial" w:hAnsi="Arial" w:cs="Arial"/>
              <w:b/>
              <w:i w:val="0"/>
              <w:color w:val="808080"/>
              <w:sz w:val="24"/>
              <w:szCs w:val="24"/>
            </w:rPr>
            <w:t>NHS Trust</w:t>
          </w:r>
        </w:p>
      </w:tc>
      <w:tc>
        <w:tcPr>
          <w:tcW w:w="2933" w:type="dxa"/>
        </w:tcPr>
        <w:p w14:paraId="7986DD1A" w14:textId="77777777" w:rsidR="00640B94" w:rsidRPr="00324517" w:rsidRDefault="00640B94" w:rsidP="00640B94">
          <w:pPr>
            <w:pStyle w:val="BodyText"/>
            <w:jc w:val="center"/>
            <w:rPr>
              <w:rFonts w:ascii="Arial" w:eastAsia="Calibri" w:hAnsi="Arial" w:cs="Arial"/>
              <w:i w:val="0"/>
              <w:noProof/>
              <w:sz w:val="22"/>
              <w:szCs w:val="22"/>
              <w:lang w:eastAsia="en-GB"/>
            </w:rPr>
          </w:pPr>
          <w:r>
            <w:rPr>
              <w:rFonts w:ascii="Arial" w:eastAsia="Calibri" w:hAnsi="Arial" w:cs="Arial"/>
              <w:i w:val="0"/>
              <w:noProof/>
              <w:sz w:val="22"/>
              <w:szCs w:val="22"/>
              <w:lang w:eastAsia="en-GB"/>
            </w:rPr>
            <w:drawing>
              <wp:inline distT="0" distB="0" distL="0" distR="0" wp14:anchorId="63A222E1" wp14:editId="5E2106DA">
                <wp:extent cx="7905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inline>
            </w:drawing>
          </w:r>
        </w:p>
        <w:p w14:paraId="45DD353E" w14:textId="77777777" w:rsidR="00640B94" w:rsidRPr="00324517" w:rsidRDefault="00640B94" w:rsidP="00640B94">
          <w:pPr>
            <w:pStyle w:val="BodyText"/>
            <w:jc w:val="center"/>
            <w:rPr>
              <w:rFonts w:ascii="Arial" w:hAnsi="Arial" w:cs="Arial"/>
              <w:i w:val="0"/>
              <w:sz w:val="32"/>
            </w:rPr>
          </w:pPr>
          <w:r w:rsidRPr="00324517">
            <w:rPr>
              <w:rFonts w:ascii="Arial" w:hAnsi="Arial" w:cs="Arial"/>
              <w:b/>
              <w:i w:val="0"/>
              <w:sz w:val="24"/>
              <w:szCs w:val="24"/>
            </w:rPr>
            <w:t>Wolverhampton Shared Care Agreement</w:t>
          </w:r>
        </w:p>
      </w:tc>
      <w:tc>
        <w:tcPr>
          <w:tcW w:w="4027" w:type="dxa"/>
        </w:tcPr>
        <w:p w14:paraId="52505CAC" w14:textId="77777777" w:rsidR="00640B94" w:rsidRPr="00242927" w:rsidRDefault="00640B94" w:rsidP="00640B94">
          <w:pPr>
            <w:jc w:val="right"/>
            <w:rPr>
              <w:rFonts w:ascii="Arial" w:eastAsia="Calibri" w:hAnsi="Arial" w:cs="Arial"/>
              <w:b/>
              <w:sz w:val="24"/>
              <w:szCs w:val="24"/>
            </w:rPr>
          </w:pPr>
          <w:r w:rsidRPr="00242927">
            <w:rPr>
              <w:rFonts w:ascii="Arial" w:eastAsia="Calibri" w:hAnsi="Arial" w:cs="Arial"/>
              <w:b/>
              <w:sz w:val="24"/>
              <w:szCs w:val="24"/>
            </w:rPr>
            <w:t>Wolverhampton City</w:t>
          </w:r>
        </w:p>
        <w:p w14:paraId="70000175" w14:textId="77777777" w:rsidR="00640B94" w:rsidRDefault="00640B94" w:rsidP="00640B94">
          <w:pPr>
            <w:jc w:val="right"/>
            <w:rPr>
              <w:rFonts w:ascii="Arial" w:eastAsia="Calibri" w:hAnsi="Arial" w:cs="Arial"/>
              <w:b/>
              <w:sz w:val="24"/>
              <w:szCs w:val="24"/>
            </w:rPr>
          </w:pPr>
          <w:r w:rsidRPr="00242927">
            <w:rPr>
              <w:rFonts w:ascii="Arial" w:eastAsia="Calibri" w:hAnsi="Arial" w:cs="Arial"/>
              <w:b/>
              <w:sz w:val="24"/>
              <w:szCs w:val="24"/>
            </w:rPr>
            <w:t>Clinical Commissioning Group</w:t>
          </w:r>
        </w:p>
        <w:p w14:paraId="4B44D093" w14:textId="77777777" w:rsidR="00640B94" w:rsidRDefault="00640B94" w:rsidP="00640B94">
          <w:pPr>
            <w:jc w:val="right"/>
            <w:rPr>
              <w:rFonts w:ascii="Arial" w:eastAsia="Calibri" w:hAnsi="Arial" w:cs="Arial"/>
              <w:b/>
              <w:sz w:val="24"/>
              <w:szCs w:val="24"/>
            </w:rPr>
          </w:pPr>
        </w:p>
        <w:p w14:paraId="2A0286F9" w14:textId="77777777" w:rsidR="00640B94" w:rsidRPr="00242927" w:rsidRDefault="00640B94" w:rsidP="00640B94">
          <w:pPr>
            <w:pStyle w:val="BodyText"/>
            <w:jc w:val="right"/>
            <w:rPr>
              <w:sz w:val="24"/>
              <w:szCs w:val="24"/>
            </w:rPr>
          </w:pPr>
          <w:r>
            <w:rPr>
              <w:rFonts w:ascii="Arial" w:eastAsia="Calibri" w:hAnsi="Arial" w:cs="Arial"/>
              <w:b/>
              <w:sz w:val="24"/>
              <w:szCs w:val="24"/>
            </w:rPr>
            <w:t xml:space="preserve">Black Country </w:t>
          </w:r>
          <w:r w:rsidRPr="00723869">
            <w:rPr>
              <w:rFonts w:ascii="Arial" w:eastAsia="Calibri" w:hAnsi="Arial" w:cs="Arial"/>
              <w:b/>
              <w:i w:val="0"/>
              <w:sz w:val="24"/>
              <w:szCs w:val="24"/>
            </w:rPr>
            <w:t>Cluster</w:t>
          </w:r>
          <w:r w:rsidRPr="00242927">
            <w:rPr>
              <w:sz w:val="24"/>
              <w:szCs w:val="24"/>
            </w:rPr>
            <w:t xml:space="preserve"> </w:t>
          </w:r>
        </w:p>
      </w:tc>
    </w:tr>
  </w:tbl>
  <w:p w14:paraId="3E6030D9" w14:textId="77777777" w:rsidR="00640B94" w:rsidRDefault="00640B94" w:rsidP="00723869">
    <w:pPr>
      <w:pStyle w:val="Header"/>
    </w:pPr>
  </w:p>
  <w:p w14:paraId="0B3EBC9E" w14:textId="77777777" w:rsidR="00640B94" w:rsidRPr="003355B9" w:rsidRDefault="00640B94" w:rsidP="00640B94">
    <w:pPr>
      <w:jc w:val="center"/>
      <w:rPr>
        <w:rFonts w:ascii="Arial" w:hAnsi="Arial" w:cs="Arial"/>
        <w:sz w:val="22"/>
        <w:szCs w:val="22"/>
      </w:rPr>
    </w:pPr>
    <w:r>
      <w:rPr>
        <w:rFonts w:ascii="Arial" w:hAnsi="Arial" w:cs="Arial"/>
        <w:sz w:val="40"/>
      </w:rPr>
      <w:t>Dronedarone</w:t>
    </w:r>
    <w:r>
      <w:rPr>
        <w:rFonts w:ascii="Arial" w:hAnsi="Arial"/>
        <w:sz w:val="40"/>
      </w:rPr>
      <w:t xml:space="preserve"> </w:t>
    </w:r>
    <w:r w:rsidRPr="004515F3">
      <w:rPr>
        <w:rFonts w:ascii="Arial" w:hAnsi="Arial" w:cs="Arial"/>
        <w:i/>
        <w:sz w:val="32"/>
        <w:szCs w:val="32"/>
      </w:rPr>
      <w:t>(</w:t>
    </w:r>
    <w:r>
      <w:rPr>
        <w:rFonts w:ascii="Arial" w:hAnsi="Arial" w:cs="Arial"/>
        <w:i/>
        <w:sz w:val="32"/>
        <w:szCs w:val="32"/>
      </w:rPr>
      <w:t>Multaq</w:t>
    </w:r>
    <w:r w:rsidRPr="004515F3">
      <w:rPr>
        <w:rFonts w:ascii="Arial" w:hAnsi="Arial"/>
        <w:i/>
        <w:sz w:val="32"/>
        <w:szCs w:val="32"/>
      </w:rPr>
      <w:t>®)</w:t>
    </w:r>
    <w:r w:rsidR="0015429B">
      <w:rPr>
        <w:rFonts w:ascii="Arial" w:hAnsi="Arial"/>
        <w:i/>
        <w:sz w:val="32"/>
        <w:szCs w:val="32"/>
      </w:rPr>
      <w:t xml:space="preserve"> – hospital monitored</w:t>
    </w:r>
  </w:p>
  <w:p w14:paraId="00D6AD54" w14:textId="77777777" w:rsidR="00640B94" w:rsidRPr="00640B94" w:rsidRDefault="00640B94" w:rsidP="00723869">
    <w:pPr>
      <w:rPr>
        <w:rFonts w:ascii="Arial" w:hAnsi="Arial"/>
        <w:sz w:val="24"/>
        <w:shd w:val="pct5" w:color="auto" w:fill="auto"/>
      </w:rPr>
    </w:pPr>
    <w:r w:rsidRPr="002F1B08">
      <w:rPr>
        <w:rFonts w:ascii="Arial" w:hAnsi="Arial" w:cs="Arial"/>
        <w:sz w:val="24"/>
        <w:szCs w:val="24"/>
        <w:shd w:val="pct5" w:color="auto" w:fill="auto"/>
      </w:rPr>
      <w:t xml:space="preserve">ESCA:  </w:t>
    </w:r>
    <w:r>
      <w:rPr>
        <w:rFonts w:ascii="Arial" w:hAnsi="Arial"/>
        <w:sz w:val="24"/>
        <w:shd w:val="pct5" w:color="auto" w:fill="auto"/>
      </w:rPr>
      <w:t>For the treatment of adult clinically stable patients with paroxysmal or persistent atrial fibrillation (AF) for the maintenance of sinus rhythm after successful cardioversion.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3720"/>
      <w:gridCol w:w="2933"/>
      <w:gridCol w:w="4027"/>
    </w:tblGrid>
    <w:tr w:rsidR="00640B94" w14:paraId="4684A935" w14:textId="77777777">
      <w:tc>
        <w:tcPr>
          <w:tcW w:w="3720" w:type="dxa"/>
        </w:tcPr>
        <w:p w14:paraId="46FEC3F6" w14:textId="01148A11" w:rsidR="00640B94" w:rsidRPr="00242927" w:rsidRDefault="00640B94" w:rsidP="00242927">
          <w:pPr>
            <w:pStyle w:val="BodyText"/>
            <w:ind w:left="492" w:hanging="492"/>
            <w:jc w:val="left"/>
            <w:rPr>
              <w:b/>
              <w:color w:val="808080" w:themeColor="background1" w:themeShade="80"/>
              <w:sz w:val="24"/>
              <w:szCs w:val="24"/>
            </w:rPr>
          </w:pPr>
          <w:r w:rsidRPr="00242927">
            <w:rPr>
              <w:b/>
              <w:color w:val="808080" w:themeColor="background1" w:themeShade="80"/>
              <w:sz w:val="24"/>
              <w:szCs w:val="24"/>
            </w:rPr>
            <w:t>Royal Wolverhampton</w:t>
          </w:r>
        </w:p>
        <w:p w14:paraId="36B090FB" w14:textId="77777777" w:rsidR="00640B94" w:rsidRPr="00242927" w:rsidRDefault="00640B94" w:rsidP="00242927">
          <w:pPr>
            <w:pStyle w:val="BodyText"/>
            <w:ind w:left="492" w:hanging="492"/>
            <w:jc w:val="left"/>
            <w:rPr>
              <w:color w:val="0000FF"/>
              <w:sz w:val="24"/>
            </w:rPr>
          </w:pPr>
          <w:r w:rsidRPr="00242927">
            <w:rPr>
              <w:b/>
              <w:color w:val="808080" w:themeColor="background1" w:themeShade="80"/>
              <w:sz w:val="24"/>
              <w:szCs w:val="24"/>
            </w:rPr>
            <w:t>NHS Trust</w:t>
          </w:r>
        </w:p>
      </w:tc>
      <w:tc>
        <w:tcPr>
          <w:tcW w:w="2933" w:type="dxa"/>
        </w:tcPr>
        <w:p w14:paraId="2EB6B424" w14:textId="77777777" w:rsidR="00640B94" w:rsidRDefault="00640B94" w:rsidP="00242927">
          <w:pPr>
            <w:pStyle w:val="BodyText"/>
            <w:jc w:val="center"/>
            <w:rPr>
              <w:rFonts w:ascii="Calibri" w:eastAsia="Calibri" w:hAnsi="Calibri"/>
              <w:noProof/>
              <w:sz w:val="22"/>
              <w:szCs w:val="22"/>
              <w:lang w:eastAsia="en-GB"/>
            </w:rPr>
          </w:pPr>
          <w:r>
            <w:rPr>
              <w:rFonts w:ascii="Calibri" w:eastAsia="Calibri" w:hAnsi="Calibri"/>
              <w:noProof/>
              <w:sz w:val="22"/>
              <w:szCs w:val="22"/>
              <w:lang w:eastAsia="en-GB"/>
            </w:rPr>
            <w:drawing>
              <wp:inline distT="0" distB="0" distL="0" distR="0" wp14:anchorId="7F245846" wp14:editId="305B7F4D">
                <wp:extent cx="7905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inline>
            </w:drawing>
          </w:r>
        </w:p>
        <w:p w14:paraId="3229A371" w14:textId="77777777" w:rsidR="00640B94" w:rsidRDefault="00640B94" w:rsidP="00242927">
          <w:pPr>
            <w:pStyle w:val="BodyText"/>
            <w:jc w:val="center"/>
            <w:rPr>
              <w:sz w:val="32"/>
            </w:rPr>
          </w:pPr>
          <w:r>
            <w:rPr>
              <w:b/>
              <w:sz w:val="24"/>
              <w:szCs w:val="24"/>
            </w:rPr>
            <w:t>Wolverhampton Shared Care Agreement</w:t>
          </w:r>
        </w:p>
      </w:tc>
      <w:tc>
        <w:tcPr>
          <w:tcW w:w="4027" w:type="dxa"/>
        </w:tcPr>
        <w:p w14:paraId="02700224" w14:textId="77777777" w:rsidR="00640B94" w:rsidRPr="00242927" w:rsidRDefault="00640B94" w:rsidP="00F604E0">
          <w:pPr>
            <w:jc w:val="right"/>
            <w:rPr>
              <w:rFonts w:ascii="Arial" w:eastAsia="Calibri" w:hAnsi="Arial" w:cs="Arial"/>
              <w:b/>
              <w:sz w:val="24"/>
              <w:szCs w:val="24"/>
            </w:rPr>
          </w:pPr>
          <w:r w:rsidRPr="00242927">
            <w:rPr>
              <w:rFonts w:ascii="Arial" w:eastAsia="Calibri" w:hAnsi="Arial" w:cs="Arial"/>
              <w:b/>
              <w:sz w:val="24"/>
              <w:szCs w:val="24"/>
            </w:rPr>
            <w:t>Wolverhampton City</w:t>
          </w:r>
        </w:p>
        <w:p w14:paraId="1E0EDB9F" w14:textId="77777777" w:rsidR="00640B94" w:rsidRDefault="00640B94" w:rsidP="00F604E0">
          <w:pPr>
            <w:jc w:val="right"/>
            <w:rPr>
              <w:rFonts w:ascii="Arial" w:eastAsia="Calibri" w:hAnsi="Arial" w:cs="Arial"/>
              <w:b/>
              <w:sz w:val="24"/>
              <w:szCs w:val="24"/>
            </w:rPr>
          </w:pPr>
          <w:r w:rsidRPr="00242927">
            <w:rPr>
              <w:rFonts w:ascii="Arial" w:eastAsia="Calibri" w:hAnsi="Arial" w:cs="Arial"/>
              <w:b/>
              <w:sz w:val="24"/>
              <w:szCs w:val="24"/>
            </w:rPr>
            <w:t>Clinical Commissioning Group</w:t>
          </w:r>
        </w:p>
        <w:p w14:paraId="3B0C339D" w14:textId="77777777" w:rsidR="00640B94" w:rsidRDefault="00640B94" w:rsidP="00F604E0">
          <w:pPr>
            <w:jc w:val="right"/>
            <w:rPr>
              <w:rFonts w:ascii="Arial" w:eastAsia="Calibri" w:hAnsi="Arial" w:cs="Arial"/>
              <w:b/>
              <w:sz w:val="24"/>
              <w:szCs w:val="24"/>
            </w:rPr>
          </w:pPr>
        </w:p>
        <w:p w14:paraId="5E24D823" w14:textId="77777777" w:rsidR="00640B94" w:rsidRPr="00242927" w:rsidRDefault="00640B94" w:rsidP="00F604E0">
          <w:pPr>
            <w:pStyle w:val="BodyText"/>
            <w:jc w:val="right"/>
            <w:rPr>
              <w:sz w:val="24"/>
              <w:szCs w:val="24"/>
            </w:rPr>
          </w:pPr>
          <w:r>
            <w:rPr>
              <w:rFonts w:ascii="Arial" w:eastAsia="Calibri" w:hAnsi="Arial" w:cs="Arial"/>
              <w:b/>
              <w:sz w:val="24"/>
              <w:szCs w:val="24"/>
            </w:rPr>
            <w:t>Black Country Cluster</w:t>
          </w:r>
          <w:r w:rsidRPr="00242927">
            <w:rPr>
              <w:sz w:val="24"/>
              <w:szCs w:val="24"/>
            </w:rPr>
            <w:t xml:space="preserve"> </w:t>
          </w:r>
        </w:p>
      </w:tc>
    </w:tr>
  </w:tbl>
  <w:p w14:paraId="6A5C1EB5" w14:textId="0C016B8C" w:rsidR="00640B94" w:rsidRDefault="001D0F23">
    <w:pPr>
      <w:pStyle w:val="Header"/>
    </w:pPr>
    <w:r>
      <w:rPr>
        <w:noProof/>
      </w:rPr>
      <w:pict w14:anchorId="3410A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3250" o:spid="_x0000_s2051" type="#_x0000_t136" style="position:absolute;margin-left:0;margin-top:0;width:655.9pt;height:81.95pt;rotation:315;z-index:-251657216;mso-position-horizontal:center;mso-position-horizontal-relative:margin;mso-position-vertical:center;mso-position-vertical-relative:margin" o:allowincell="f" fillcolor="silver" stroked="f">
          <v:fill opacity=".5"/>
          <v:textpath style="font-family:&quot;HelvLight&quot;;font-size:1pt" string="Draft (version 1)"/>
          <w10:wrap anchorx="margin" anchory="margin"/>
        </v:shape>
      </w:pict>
    </w:r>
  </w:p>
  <w:p w14:paraId="6B12F864" w14:textId="77777777" w:rsidR="00640B94" w:rsidRPr="003355B9" w:rsidRDefault="00640B94" w:rsidP="00723869">
    <w:pPr>
      <w:jc w:val="center"/>
      <w:rPr>
        <w:rFonts w:ascii="Arial" w:hAnsi="Arial" w:cs="Arial"/>
        <w:sz w:val="36"/>
        <w:szCs w:val="36"/>
      </w:rPr>
    </w:pPr>
    <w:r w:rsidRPr="003355B9">
      <w:rPr>
        <w:rFonts w:ascii="Arial" w:hAnsi="Arial" w:cs="Arial"/>
        <w:sz w:val="36"/>
        <w:szCs w:val="36"/>
      </w:rPr>
      <w:t xml:space="preserve">Generic Name </w:t>
    </w:r>
    <w:r w:rsidRPr="003355B9">
      <w:rPr>
        <w:rFonts w:ascii="Arial" w:hAnsi="Arial" w:cs="Arial"/>
        <w:i/>
        <w:sz w:val="36"/>
        <w:szCs w:val="36"/>
      </w:rPr>
      <w:t>(Brand Name®)</w:t>
    </w:r>
  </w:p>
  <w:p w14:paraId="51D01115" w14:textId="77777777" w:rsidR="00640B94" w:rsidRPr="003355B9" w:rsidRDefault="00640B94" w:rsidP="00723869">
    <w:pPr>
      <w:rPr>
        <w:rFonts w:ascii="Arial" w:hAnsi="Arial" w:cs="Arial"/>
        <w:sz w:val="22"/>
        <w:szCs w:val="22"/>
      </w:rPr>
    </w:pPr>
  </w:p>
  <w:p w14:paraId="362C3D1A" w14:textId="77777777" w:rsidR="00640B94" w:rsidRPr="00723869" w:rsidRDefault="00640B94" w:rsidP="00723869">
    <w:pPr>
      <w:rPr>
        <w:rFonts w:ascii="Arial" w:hAnsi="Arial" w:cs="Arial"/>
        <w:sz w:val="24"/>
        <w:szCs w:val="24"/>
        <w:shd w:val="pct5" w:color="auto" w:fill="auto"/>
      </w:rPr>
    </w:pPr>
    <w:r w:rsidRPr="002F1B08">
      <w:rPr>
        <w:rFonts w:ascii="Arial" w:hAnsi="Arial" w:cs="Arial"/>
        <w:sz w:val="24"/>
        <w:szCs w:val="24"/>
        <w:shd w:val="pct5" w:color="auto" w:fill="auto"/>
      </w:rPr>
      <w:t xml:space="preserve">ESCA:  For the treatment 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449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A07D0"/>
    <w:multiLevelType w:val="singleLevel"/>
    <w:tmpl w:val="62420584"/>
    <w:lvl w:ilvl="0">
      <w:start w:val="1"/>
      <w:numFmt w:val="decimal"/>
      <w:lvlText w:val="%1."/>
      <w:lvlJc w:val="left"/>
      <w:pPr>
        <w:tabs>
          <w:tab w:val="num" w:pos="360"/>
        </w:tabs>
        <w:ind w:left="360" w:hanging="360"/>
      </w:pPr>
    </w:lvl>
  </w:abstractNum>
  <w:abstractNum w:abstractNumId="3" w15:restartNumberingAfterBreak="0">
    <w:nsid w:val="094953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2342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9A7457"/>
    <w:multiLevelType w:val="singleLevel"/>
    <w:tmpl w:val="20DE4446"/>
    <w:lvl w:ilvl="0">
      <w:start w:val="1"/>
      <w:numFmt w:val="decimal"/>
      <w:lvlText w:val="%1"/>
      <w:lvlJc w:val="left"/>
      <w:pPr>
        <w:tabs>
          <w:tab w:val="num" w:pos="360"/>
        </w:tabs>
        <w:ind w:left="340" w:hanging="340"/>
      </w:pPr>
      <w:rPr>
        <w:b w:val="0"/>
        <w:i w:val="0"/>
      </w:rPr>
    </w:lvl>
  </w:abstractNum>
  <w:abstractNum w:abstractNumId="6" w15:restartNumberingAfterBreak="0">
    <w:nsid w:val="0FBB2170"/>
    <w:multiLevelType w:val="hybridMultilevel"/>
    <w:tmpl w:val="EE0C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A2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06707B"/>
    <w:multiLevelType w:val="singleLevel"/>
    <w:tmpl w:val="C3ECB4E6"/>
    <w:lvl w:ilvl="0">
      <w:start w:val="1"/>
      <w:numFmt w:val="decimal"/>
      <w:lvlText w:val="(%1)"/>
      <w:lvlJc w:val="left"/>
      <w:pPr>
        <w:tabs>
          <w:tab w:val="num" w:pos="432"/>
        </w:tabs>
        <w:ind w:left="432" w:hanging="432"/>
      </w:pPr>
      <w:rPr>
        <w:rFonts w:hint="default"/>
      </w:rPr>
    </w:lvl>
  </w:abstractNum>
  <w:abstractNum w:abstractNumId="9" w15:restartNumberingAfterBreak="0">
    <w:nsid w:val="10717376"/>
    <w:multiLevelType w:val="hybridMultilevel"/>
    <w:tmpl w:val="BF500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85BFA"/>
    <w:multiLevelType w:val="hybridMultilevel"/>
    <w:tmpl w:val="9BD4A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971349"/>
    <w:multiLevelType w:val="singleLevel"/>
    <w:tmpl w:val="FD288BEA"/>
    <w:lvl w:ilvl="0">
      <w:start w:val="1"/>
      <w:numFmt w:val="decimal"/>
      <w:lvlText w:val="(%1)"/>
      <w:lvlJc w:val="left"/>
      <w:pPr>
        <w:tabs>
          <w:tab w:val="num" w:pos="360"/>
        </w:tabs>
        <w:ind w:left="360" w:hanging="360"/>
      </w:pPr>
      <w:rPr>
        <w:rFonts w:hint="default"/>
      </w:rPr>
    </w:lvl>
  </w:abstractNum>
  <w:abstractNum w:abstractNumId="12" w15:restartNumberingAfterBreak="0">
    <w:nsid w:val="207A0D87"/>
    <w:multiLevelType w:val="hybridMultilevel"/>
    <w:tmpl w:val="DD18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27B7D"/>
    <w:multiLevelType w:val="hybridMultilevel"/>
    <w:tmpl w:val="DD18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B1AF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57529C6"/>
    <w:multiLevelType w:val="hybridMultilevel"/>
    <w:tmpl w:val="500C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47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44244E"/>
    <w:multiLevelType w:val="singleLevel"/>
    <w:tmpl w:val="6F9879FC"/>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2D6D6FA3"/>
    <w:multiLevelType w:val="singleLevel"/>
    <w:tmpl w:val="DE32BDFE"/>
    <w:lvl w:ilvl="0">
      <w:start w:val="1"/>
      <w:numFmt w:val="decimal"/>
      <w:lvlText w:val="%1"/>
      <w:lvlJc w:val="left"/>
      <w:pPr>
        <w:tabs>
          <w:tab w:val="num" w:pos="360"/>
        </w:tabs>
        <w:ind w:left="340" w:hanging="340"/>
      </w:pPr>
      <w:rPr>
        <w:b w:val="0"/>
        <w:i w:val="0"/>
      </w:rPr>
    </w:lvl>
  </w:abstractNum>
  <w:abstractNum w:abstractNumId="19" w15:restartNumberingAfterBreak="0">
    <w:nsid w:val="369C3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9E7A67"/>
    <w:multiLevelType w:val="singleLevel"/>
    <w:tmpl w:val="5DF047E4"/>
    <w:lvl w:ilvl="0">
      <w:start w:val="14"/>
      <w:numFmt w:val="decimal"/>
      <w:lvlText w:val="%1."/>
      <w:lvlJc w:val="left"/>
      <w:pPr>
        <w:tabs>
          <w:tab w:val="num" w:pos="540"/>
        </w:tabs>
        <w:ind w:left="540" w:hanging="456"/>
      </w:pPr>
      <w:rPr>
        <w:rFonts w:hint="default"/>
      </w:rPr>
    </w:lvl>
  </w:abstractNum>
  <w:abstractNum w:abstractNumId="21" w15:restartNumberingAfterBreak="0">
    <w:nsid w:val="36B573D4"/>
    <w:multiLevelType w:val="hybridMultilevel"/>
    <w:tmpl w:val="599C3B7C"/>
    <w:lvl w:ilvl="0" w:tplc="170A1F54">
      <w:numFmt w:val="bullet"/>
      <w:lvlText w:val="-"/>
      <w:lvlJc w:val="left"/>
      <w:pPr>
        <w:ind w:left="720" w:hanging="360"/>
      </w:pPr>
      <w:rPr>
        <w:rFonts w:ascii="AdvOTb7819099" w:eastAsia="Times New Roman" w:hAnsi="AdvOTb7819099"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B5ED7"/>
    <w:multiLevelType w:val="singleLevel"/>
    <w:tmpl w:val="1C5090A4"/>
    <w:lvl w:ilvl="0">
      <w:numFmt w:val="bullet"/>
      <w:lvlText w:val="-"/>
      <w:lvlJc w:val="left"/>
      <w:pPr>
        <w:tabs>
          <w:tab w:val="num" w:pos="360"/>
        </w:tabs>
        <w:ind w:left="340" w:hanging="340"/>
      </w:pPr>
      <w:rPr>
        <w:rFonts w:hint="default"/>
      </w:rPr>
    </w:lvl>
  </w:abstractNum>
  <w:abstractNum w:abstractNumId="23" w15:restartNumberingAfterBreak="0">
    <w:nsid w:val="426139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5E3F59"/>
    <w:multiLevelType w:val="hybridMultilevel"/>
    <w:tmpl w:val="500C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20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9A11F6"/>
    <w:multiLevelType w:val="singleLevel"/>
    <w:tmpl w:val="9D7C4A7C"/>
    <w:lvl w:ilvl="0">
      <w:start w:val="1"/>
      <w:numFmt w:val="decimal"/>
      <w:lvlText w:val="%1."/>
      <w:lvlJc w:val="left"/>
      <w:pPr>
        <w:tabs>
          <w:tab w:val="num" w:pos="552"/>
        </w:tabs>
        <w:ind w:left="552" w:hanging="360"/>
      </w:pPr>
      <w:rPr>
        <w:rFonts w:hint="default"/>
      </w:rPr>
    </w:lvl>
  </w:abstractNum>
  <w:abstractNum w:abstractNumId="27" w15:restartNumberingAfterBreak="0">
    <w:nsid w:val="5579538E"/>
    <w:multiLevelType w:val="singleLevel"/>
    <w:tmpl w:val="5DF047E4"/>
    <w:lvl w:ilvl="0">
      <w:start w:val="16"/>
      <w:numFmt w:val="decimal"/>
      <w:lvlText w:val="%1."/>
      <w:lvlJc w:val="left"/>
      <w:pPr>
        <w:tabs>
          <w:tab w:val="num" w:pos="540"/>
        </w:tabs>
        <w:ind w:left="540" w:hanging="456"/>
      </w:pPr>
      <w:rPr>
        <w:rFonts w:hint="default"/>
      </w:rPr>
    </w:lvl>
  </w:abstractNum>
  <w:abstractNum w:abstractNumId="28" w15:restartNumberingAfterBreak="0">
    <w:nsid w:val="568B6C2F"/>
    <w:multiLevelType w:val="singleLevel"/>
    <w:tmpl w:val="20DE4446"/>
    <w:lvl w:ilvl="0">
      <w:start w:val="1"/>
      <w:numFmt w:val="decimal"/>
      <w:lvlText w:val="%1"/>
      <w:lvlJc w:val="left"/>
      <w:pPr>
        <w:tabs>
          <w:tab w:val="num" w:pos="360"/>
        </w:tabs>
        <w:ind w:left="340" w:hanging="340"/>
      </w:pPr>
      <w:rPr>
        <w:b w:val="0"/>
        <w:i w:val="0"/>
      </w:rPr>
    </w:lvl>
  </w:abstractNum>
  <w:abstractNum w:abstractNumId="29" w15:restartNumberingAfterBreak="0">
    <w:nsid w:val="57BE6DF2"/>
    <w:multiLevelType w:val="hybridMultilevel"/>
    <w:tmpl w:val="5D68B212"/>
    <w:lvl w:ilvl="0" w:tplc="08090001">
      <w:start w:val="1"/>
      <w:numFmt w:val="bullet"/>
      <w:lvlText w:val=""/>
      <w:lvlJc w:val="left"/>
      <w:pPr>
        <w:tabs>
          <w:tab w:val="num" w:pos="-192"/>
        </w:tabs>
        <w:ind w:left="-192" w:hanging="360"/>
      </w:pPr>
      <w:rPr>
        <w:rFonts w:ascii="Symbol" w:hAnsi="Symbol" w:hint="default"/>
      </w:rPr>
    </w:lvl>
    <w:lvl w:ilvl="1" w:tplc="08090003">
      <w:start w:val="1"/>
      <w:numFmt w:val="bullet"/>
      <w:lvlText w:val="o"/>
      <w:lvlJc w:val="left"/>
      <w:pPr>
        <w:tabs>
          <w:tab w:val="num" w:pos="528"/>
        </w:tabs>
        <w:ind w:left="528" w:hanging="360"/>
      </w:pPr>
      <w:rPr>
        <w:rFonts w:ascii="Courier New" w:hAnsi="Courier New" w:hint="default"/>
      </w:rPr>
    </w:lvl>
    <w:lvl w:ilvl="2" w:tplc="08090005" w:tentative="1">
      <w:start w:val="1"/>
      <w:numFmt w:val="bullet"/>
      <w:lvlText w:val=""/>
      <w:lvlJc w:val="left"/>
      <w:pPr>
        <w:tabs>
          <w:tab w:val="num" w:pos="1248"/>
        </w:tabs>
        <w:ind w:left="1248" w:hanging="360"/>
      </w:pPr>
      <w:rPr>
        <w:rFonts w:ascii="Wingdings" w:hAnsi="Wingdings" w:hint="default"/>
      </w:rPr>
    </w:lvl>
    <w:lvl w:ilvl="3" w:tplc="08090001" w:tentative="1">
      <w:start w:val="1"/>
      <w:numFmt w:val="bullet"/>
      <w:lvlText w:val=""/>
      <w:lvlJc w:val="left"/>
      <w:pPr>
        <w:tabs>
          <w:tab w:val="num" w:pos="1968"/>
        </w:tabs>
        <w:ind w:left="1968" w:hanging="360"/>
      </w:pPr>
      <w:rPr>
        <w:rFonts w:ascii="Symbol" w:hAnsi="Symbol" w:hint="default"/>
      </w:rPr>
    </w:lvl>
    <w:lvl w:ilvl="4" w:tplc="08090003" w:tentative="1">
      <w:start w:val="1"/>
      <w:numFmt w:val="bullet"/>
      <w:lvlText w:val="o"/>
      <w:lvlJc w:val="left"/>
      <w:pPr>
        <w:tabs>
          <w:tab w:val="num" w:pos="2688"/>
        </w:tabs>
        <w:ind w:left="2688" w:hanging="360"/>
      </w:pPr>
      <w:rPr>
        <w:rFonts w:ascii="Courier New" w:hAnsi="Courier New" w:hint="default"/>
      </w:rPr>
    </w:lvl>
    <w:lvl w:ilvl="5" w:tplc="08090005" w:tentative="1">
      <w:start w:val="1"/>
      <w:numFmt w:val="bullet"/>
      <w:lvlText w:val=""/>
      <w:lvlJc w:val="left"/>
      <w:pPr>
        <w:tabs>
          <w:tab w:val="num" w:pos="3408"/>
        </w:tabs>
        <w:ind w:left="3408" w:hanging="360"/>
      </w:pPr>
      <w:rPr>
        <w:rFonts w:ascii="Wingdings" w:hAnsi="Wingdings" w:hint="default"/>
      </w:rPr>
    </w:lvl>
    <w:lvl w:ilvl="6" w:tplc="08090001" w:tentative="1">
      <w:start w:val="1"/>
      <w:numFmt w:val="bullet"/>
      <w:lvlText w:val=""/>
      <w:lvlJc w:val="left"/>
      <w:pPr>
        <w:tabs>
          <w:tab w:val="num" w:pos="4128"/>
        </w:tabs>
        <w:ind w:left="4128" w:hanging="360"/>
      </w:pPr>
      <w:rPr>
        <w:rFonts w:ascii="Symbol" w:hAnsi="Symbol" w:hint="default"/>
      </w:rPr>
    </w:lvl>
    <w:lvl w:ilvl="7" w:tplc="08090003" w:tentative="1">
      <w:start w:val="1"/>
      <w:numFmt w:val="bullet"/>
      <w:lvlText w:val="o"/>
      <w:lvlJc w:val="left"/>
      <w:pPr>
        <w:tabs>
          <w:tab w:val="num" w:pos="4848"/>
        </w:tabs>
        <w:ind w:left="4848" w:hanging="360"/>
      </w:pPr>
      <w:rPr>
        <w:rFonts w:ascii="Courier New" w:hAnsi="Courier New" w:hint="default"/>
      </w:rPr>
    </w:lvl>
    <w:lvl w:ilvl="8" w:tplc="08090005" w:tentative="1">
      <w:start w:val="1"/>
      <w:numFmt w:val="bullet"/>
      <w:lvlText w:val=""/>
      <w:lvlJc w:val="left"/>
      <w:pPr>
        <w:tabs>
          <w:tab w:val="num" w:pos="5568"/>
        </w:tabs>
        <w:ind w:left="5568" w:hanging="360"/>
      </w:pPr>
      <w:rPr>
        <w:rFonts w:ascii="Wingdings" w:hAnsi="Wingdings" w:hint="default"/>
      </w:rPr>
    </w:lvl>
  </w:abstractNum>
  <w:abstractNum w:abstractNumId="30" w15:restartNumberingAfterBreak="0">
    <w:nsid w:val="5F657B2C"/>
    <w:multiLevelType w:val="singleLevel"/>
    <w:tmpl w:val="D444D79E"/>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64561059"/>
    <w:multiLevelType w:val="singleLevel"/>
    <w:tmpl w:val="9338342E"/>
    <w:lvl w:ilvl="0">
      <w:start w:val="7"/>
      <w:numFmt w:val="bullet"/>
      <w:lvlText w:val="-"/>
      <w:lvlJc w:val="left"/>
      <w:pPr>
        <w:tabs>
          <w:tab w:val="num" w:pos="420"/>
        </w:tabs>
        <w:ind w:left="420" w:hanging="360"/>
      </w:pPr>
      <w:rPr>
        <w:rFonts w:ascii="Times New Roman" w:hAnsi="Times New Roman" w:hint="default"/>
      </w:rPr>
    </w:lvl>
  </w:abstractNum>
  <w:abstractNum w:abstractNumId="32" w15:restartNumberingAfterBreak="0">
    <w:nsid w:val="65C63761"/>
    <w:multiLevelType w:val="singleLevel"/>
    <w:tmpl w:val="62420584"/>
    <w:lvl w:ilvl="0">
      <w:start w:val="10"/>
      <w:numFmt w:val="decimal"/>
      <w:lvlText w:val="%1."/>
      <w:lvlJc w:val="left"/>
      <w:pPr>
        <w:tabs>
          <w:tab w:val="num" w:pos="360"/>
        </w:tabs>
        <w:ind w:left="360" w:hanging="360"/>
      </w:pPr>
      <w:rPr>
        <w:rFonts w:hint="default"/>
      </w:rPr>
    </w:lvl>
  </w:abstractNum>
  <w:abstractNum w:abstractNumId="33" w15:restartNumberingAfterBreak="0">
    <w:nsid w:val="6F8A420F"/>
    <w:multiLevelType w:val="hybridMultilevel"/>
    <w:tmpl w:val="1D189226"/>
    <w:lvl w:ilvl="0" w:tplc="F086E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BB6F1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513F0B"/>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5520A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965E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B32E88"/>
    <w:multiLevelType w:val="singleLevel"/>
    <w:tmpl w:val="D444D79E"/>
    <w:lvl w:ilvl="0">
      <w:start w:val="1"/>
      <w:numFmt w:val="bullet"/>
      <w:lvlText w:val=""/>
      <w:lvlJc w:val="left"/>
      <w:pPr>
        <w:tabs>
          <w:tab w:val="num" w:pos="360"/>
        </w:tabs>
        <w:ind w:left="340" w:hanging="340"/>
      </w:pPr>
      <w:rPr>
        <w:rFonts w:ascii="Symbol" w:hAnsi="Symbol" w:hint="default"/>
      </w:rPr>
    </w:lvl>
  </w:abstractNum>
  <w:abstractNum w:abstractNumId="39" w15:restartNumberingAfterBreak="0">
    <w:nsid w:val="75C42A0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AE916F4"/>
    <w:multiLevelType w:val="hybridMultilevel"/>
    <w:tmpl w:val="21425456"/>
    <w:lvl w:ilvl="0" w:tplc="5B728978">
      <w:start w:val="1"/>
      <w:numFmt w:val="lowerLetter"/>
      <w:lvlText w:val="(%1)"/>
      <w:lvlJc w:val="left"/>
      <w:pPr>
        <w:tabs>
          <w:tab w:val="num" w:pos="720"/>
        </w:tabs>
        <w:ind w:left="720" w:hanging="360"/>
      </w:pPr>
      <w:rPr>
        <w:rFonts w:ascii="Helvetica" w:hAnsi="Helvetic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2440B4"/>
    <w:multiLevelType w:val="singleLevel"/>
    <w:tmpl w:val="5D9C7FFE"/>
    <w:lvl w:ilvl="0">
      <w:start w:val="1"/>
      <w:numFmt w:val="bullet"/>
      <w:lvlText w:val=""/>
      <w:lvlJc w:val="left"/>
      <w:pPr>
        <w:tabs>
          <w:tab w:val="num" w:pos="360"/>
        </w:tabs>
        <w:ind w:left="340" w:hanging="340"/>
      </w:pPr>
      <w:rPr>
        <w:rFonts w:ascii="Symbol" w:hAnsi="Symbol" w:hint="default"/>
      </w:rPr>
    </w:lvl>
  </w:abstractNum>
  <w:abstractNum w:abstractNumId="42" w15:restartNumberingAfterBreak="0">
    <w:nsid w:val="7E183CB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318193397">
    <w:abstractNumId w:val="7"/>
  </w:num>
  <w:num w:numId="2" w16cid:durableId="882062480">
    <w:abstractNumId w:val="19"/>
  </w:num>
  <w:num w:numId="3" w16cid:durableId="1559976369">
    <w:abstractNumId w:val="2"/>
  </w:num>
  <w:num w:numId="4" w16cid:durableId="743800103">
    <w:abstractNumId w:val="35"/>
  </w:num>
  <w:num w:numId="5" w16cid:durableId="399139618">
    <w:abstractNumId w:val="26"/>
  </w:num>
  <w:num w:numId="6" w16cid:durableId="167141807">
    <w:abstractNumId w:val="32"/>
  </w:num>
  <w:num w:numId="7" w16cid:durableId="586810862">
    <w:abstractNumId w:val="27"/>
  </w:num>
  <w:num w:numId="8" w16cid:durableId="1919243051">
    <w:abstractNumId w:val="20"/>
  </w:num>
  <w:num w:numId="9" w16cid:durableId="1198159399">
    <w:abstractNumId w:val="14"/>
  </w:num>
  <w:num w:numId="10" w16cid:durableId="1849441583">
    <w:abstractNumId w:val="39"/>
  </w:num>
  <w:num w:numId="11" w16cid:durableId="1040936994">
    <w:abstractNumId w:val="34"/>
  </w:num>
  <w:num w:numId="12" w16cid:durableId="281887166">
    <w:abstractNumId w:val="42"/>
  </w:num>
  <w:num w:numId="13" w16cid:durableId="1957246524">
    <w:abstractNumId w:val="4"/>
  </w:num>
  <w:num w:numId="14" w16cid:durableId="42603858">
    <w:abstractNumId w:val="23"/>
  </w:num>
  <w:num w:numId="15" w16cid:durableId="1584294437">
    <w:abstractNumId w:val="3"/>
  </w:num>
  <w:num w:numId="16" w16cid:durableId="48118927">
    <w:abstractNumId w:val="41"/>
  </w:num>
  <w:num w:numId="17" w16cid:durableId="845940786">
    <w:abstractNumId w:val="11"/>
  </w:num>
  <w:num w:numId="18" w16cid:durableId="1129591096">
    <w:abstractNumId w:val="8"/>
  </w:num>
  <w:num w:numId="19" w16cid:durableId="301425428">
    <w:abstractNumId w:val="22"/>
  </w:num>
  <w:num w:numId="20" w16cid:durableId="289670928">
    <w:abstractNumId w:val="37"/>
  </w:num>
  <w:num w:numId="21" w16cid:durableId="666831776">
    <w:abstractNumId w:val="1"/>
  </w:num>
  <w:num w:numId="22" w16cid:durableId="880823703">
    <w:abstractNumId w:val="18"/>
  </w:num>
  <w:num w:numId="23" w16cid:durableId="791217475">
    <w:abstractNumId w:val="28"/>
  </w:num>
  <w:num w:numId="24" w16cid:durableId="1033114159">
    <w:abstractNumId w:val="5"/>
  </w:num>
  <w:num w:numId="25" w16cid:durableId="467480642">
    <w:abstractNumId w:val="25"/>
  </w:num>
  <w:num w:numId="26" w16cid:durableId="1865364970">
    <w:abstractNumId w:val="16"/>
  </w:num>
  <w:num w:numId="27" w16cid:durableId="1965498467">
    <w:abstractNumId w:val="36"/>
  </w:num>
  <w:num w:numId="28" w16cid:durableId="290478389">
    <w:abstractNumId w:val="38"/>
  </w:num>
  <w:num w:numId="29" w16cid:durableId="795180315">
    <w:abstractNumId w:val="30"/>
  </w:num>
  <w:num w:numId="30" w16cid:durableId="14572897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424766383">
    <w:abstractNumId w:val="17"/>
  </w:num>
  <w:num w:numId="32" w16cid:durableId="1248536822">
    <w:abstractNumId w:val="31"/>
  </w:num>
  <w:num w:numId="33" w16cid:durableId="2004626699">
    <w:abstractNumId w:val="10"/>
  </w:num>
  <w:num w:numId="34" w16cid:durableId="734938468">
    <w:abstractNumId w:val="33"/>
  </w:num>
  <w:num w:numId="35" w16cid:durableId="408892698">
    <w:abstractNumId w:val="9"/>
  </w:num>
  <w:num w:numId="36" w16cid:durableId="624507816">
    <w:abstractNumId w:val="13"/>
  </w:num>
  <w:num w:numId="37" w16cid:durableId="1167014386">
    <w:abstractNumId w:val="24"/>
  </w:num>
  <w:num w:numId="38" w16cid:durableId="1538272717">
    <w:abstractNumId w:val="15"/>
  </w:num>
  <w:num w:numId="39" w16cid:durableId="2074231531">
    <w:abstractNumId w:val="12"/>
  </w:num>
  <w:num w:numId="40" w16cid:durableId="2133480868">
    <w:abstractNumId w:val="40"/>
  </w:num>
  <w:num w:numId="41" w16cid:durableId="713848103">
    <w:abstractNumId w:val="21"/>
  </w:num>
  <w:num w:numId="42" w16cid:durableId="1269892092">
    <w:abstractNumId w:val="29"/>
  </w:num>
  <w:num w:numId="43" w16cid:durableId="2082361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0F"/>
    <w:rsid w:val="000A3C5F"/>
    <w:rsid w:val="0014649A"/>
    <w:rsid w:val="0015429B"/>
    <w:rsid w:val="00155402"/>
    <w:rsid w:val="001D0F23"/>
    <w:rsid w:val="00230394"/>
    <w:rsid w:val="00242927"/>
    <w:rsid w:val="002A2015"/>
    <w:rsid w:val="002B6E01"/>
    <w:rsid w:val="002F1B08"/>
    <w:rsid w:val="00324517"/>
    <w:rsid w:val="003355B9"/>
    <w:rsid w:val="00375C2E"/>
    <w:rsid w:val="00454E36"/>
    <w:rsid w:val="004E35DD"/>
    <w:rsid w:val="00510BCB"/>
    <w:rsid w:val="005B77D8"/>
    <w:rsid w:val="00605C80"/>
    <w:rsid w:val="00640B94"/>
    <w:rsid w:val="00707837"/>
    <w:rsid w:val="00723869"/>
    <w:rsid w:val="007325E2"/>
    <w:rsid w:val="007A53D9"/>
    <w:rsid w:val="007D4C13"/>
    <w:rsid w:val="00840D3A"/>
    <w:rsid w:val="00891143"/>
    <w:rsid w:val="00897442"/>
    <w:rsid w:val="00923C28"/>
    <w:rsid w:val="00930FC9"/>
    <w:rsid w:val="009705E7"/>
    <w:rsid w:val="00987900"/>
    <w:rsid w:val="009A1DAA"/>
    <w:rsid w:val="009A3764"/>
    <w:rsid w:val="00AC5A78"/>
    <w:rsid w:val="00B045EA"/>
    <w:rsid w:val="00BC4A4D"/>
    <w:rsid w:val="00C23082"/>
    <w:rsid w:val="00C55AEA"/>
    <w:rsid w:val="00C81C71"/>
    <w:rsid w:val="00CA687F"/>
    <w:rsid w:val="00CF3FFD"/>
    <w:rsid w:val="00CF4242"/>
    <w:rsid w:val="00CF7277"/>
    <w:rsid w:val="00DB160F"/>
    <w:rsid w:val="00DF5F63"/>
    <w:rsid w:val="00EE1831"/>
    <w:rsid w:val="00F46AE1"/>
    <w:rsid w:val="00F604E0"/>
    <w:rsid w:val="00FA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52D5DEF7"/>
  <w15:docId w15:val="{4B5AC85F-B27C-48A8-9163-10E22369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Light" w:hAnsi="HelvLight"/>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link w:val="Heading4Char"/>
    <w:uiPriority w:val="99"/>
    <w:qFormat/>
    <w:pPr>
      <w:keepNext/>
      <w:jc w:val="center"/>
      <w:outlineLvl w:val="3"/>
    </w:pPr>
    <w:rPr>
      <w:rFonts w:ascii="Helvetica" w:hAnsi="Helvetica"/>
      <w:sz w:val="24"/>
      <w:shd w:val="pct5" w:color="auto"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rachead1">
    <w:name w:val="mtrac head 1"/>
    <w:basedOn w:val="Heading1"/>
    <w:pPr>
      <w:spacing w:before="0" w:after="0"/>
      <w:jc w:val="both"/>
    </w:pPr>
    <w:rPr>
      <w:snapToGrid w:val="0"/>
      <w:kern w:val="0"/>
      <w:sz w:val="24"/>
      <w:u w:val="single"/>
    </w:rPr>
  </w:style>
  <w:style w:type="paragraph" w:customStyle="1" w:styleId="mtrachead2">
    <w:name w:val="mtrac head 2"/>
    <w:basedOn w:val="Heading2"/>
    <w:pPr>
      <w:numPr>
        <w:ilvl w:val="12"/>
      </w:numPr>
      <w:spacing w:before="0" w:after="0"/>
      <w:jc w:val="both"/>
    </w:pPr>
    <w:rPr>
      <w:i w:val="0"/>
      <w:snapToGrid w:val="0"/>
    </w:rPr>
  </w:style>
  <w:style w:type="paragraph" w:customStyle="1" w:styleId="mtrachead3">
    <w:name w:val="mtrac head 3"/>
    <w:basedOn w:val="Heading3"/>
    <w:uiPriority w:val="99"/>
    <w:pPr>
      <w:spacing w:before="0" w:after="0"/>
    </w:pPr>
    <w:rPr>
      <w:b/>
      <w:snapToGrid w:val="0"/>
      <w:sz w:val="20"/>
    </w:rPr>
  </w:style>
  <w:style w:type="paragraph" w:customStyle="1" w:styleId="mtrachead4">
    <w:name w:val="mtrac head 4"/>
    <w:basedOn w:val="Footer"/>
    <w:pPr>
      <w:tabs>
        <w:tab w:val="clear" w:pos="4153"/>
        <w:tab w:val="clear" w:pos="8306"/>
      </w:tabs>
      <w:jc w:val="both"/>
    </w:pPr>
    <w:rPr>
      <w:b/>
      <w:i/>
      <w:snapToGrid w:val="0"/>
    </w:rPr>
  </w:style>
  <w:style w:type="paragraph" w:styleId="Footer">
    <w:name w:val="footer"/>
    <w:basedOn w:val="Normal"/>
    <w:pPr>
      <w:tabs>
        <w:tab w:val="center" w:pos="4153"/>
        <w:tab w:val="right" w:pos="8306"/>
      </w:tabs>
    </w:pPr>
  </w:style>
  <w:style w:type="paragraph" w:customStyle="1" w:styleId="mtrachead5">
    <w:name w:val="mtrac head 5"/>
    <w:basedOn w:val="Footer"/>
    <w:pPr>
      <w:numPr>
        <w:ilvl w:val="12"/>
      </w:numPr>
      <w:tabs>
        <w:tab w:val="clear" w:pos="4153"/>
        <w:tab w:val="clear" w:pos="8306"/>
      </w:tabs>
      <w:jc w:val="both"/>
    </w:pPr>
    <w:rPr>
      <w:snapToGrid w:val="0"/>
    </w:rPr>
  </w:style>
  <w:style w:type="paragraph" w:customStyle="1" w:styleId="mtrachead6">
    <w:name w:val="mtrac head 6"/>
    <w:basedOn w:val="Normal"/>
    <w:rPr>
      <w:i/>
      <w:snapToGrid w:val="0"/>
      <w:spacing w:val="-3"/>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styleId="BodyText">
    <w:name w:val="Body Text"/>
    <w:basedOn w:val="Normal"/>
    <w:pPr>
      <w:jc w:val="both"/>
    </w:pPr>
    <w:rPr>
      <w:i/>
    </w:rPr>
  </w:style>
  <w:style w:type="paragraph" w:styleId="BodyText3">
    <w:name w:val="Body Text 3"/>
    <w:basedOn w:val="Normal"/>
    <w:pPr>
      <w:tabs>
        <w:tab w:val="left" w:pos="-720"/>
        <w:tab w:val="right" w:pos="9639"/>
      </w:tabs>
      <w:suppressAutoHyphens/>
      <w:ind w:right="29"/>
      <w:jc w:val="both"/>
    </w:pPr>
    <w:rPr>
      <w:rFonts w:ascii="Helvetica" w:hAnsi="Helvetica"/>
    </w:rPr>
  </w:style>
  <w:style w:type="paragraph" w:styleId="BodyTextIndent">
    <w:name w:val="Body Text Indent"/>
    <w:basedOn w:val="Normal"/>
    <w:link w:val="BodyTextIndentChar"/>
    <w:pPr>
      <w:autoSpaceDE w:val="0"/>
      <w:autoSpaceDN w:val="0"/>
      <w:adjustRightInd w:val="0"/>
      <w:ind w:left="284" w:hanging="284"/>
    </w:pPr>
    <w:rPr>
      <w:rFonts w:ascii="Arial" w:hAnsi="Arial"/>
      <w:lang w:val="en-US"/>
    </w:rPr>
  </w:style>
  <w:style w:type="paragraph" w:styleId="BalloonText">
    <w:name w:val="Balloon Text"/>
    <w:basedOn w:val="Normal"/>
    <w:link w:val="BalloonTextChar"/>
    <w:uiPriority w:val="99"/>
    <w:semiHidden/>
    <w:unhideWhenUsed/>
    <w:rsid w:val="00923C28"/>
    <w:rPr>
      <w:rFonts w:ascii="Tahoma" w:hAnsi="Tahoma" w:cs="Tahoma"/>
      <w:sz w:val="16"/>
      <w:szCs w:val="16"/>
    </w:rPr>
  </w:style>
  <w:style w:type="character" w:customStyle="1" w:styleId="BalloonTextChar">
    <w:name w:val="Balloon Text Char"/>
    <w:basedOn w:val="DefaultParagraphFont"/>
    <w:link w:val="BalloonText"/>
    <w:uiPriority w:val="99"/>
    <w:semiHidden/>
    <w:rsid w:val="00923C28"/>
    <w:rPr>
      <w:rFonts w:ascii="Tahoma" w:hAnsi="Tahoma" w:cs="Tahoma"/>
      <w:sz w:val="16"/>
      <w:szCs w:val="16"/>
      <w:lang w:eastAsia="en-US"/>
    </w:rPr>
  </w:style>
  <w:style w:type="paragraph" w:customStyle="1" w:styleId="Default">
    <w:name w:val="Default"/>
    <w:uiPriority w:val="99"/>
    <w:rsid w:val="003355B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B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locked/>
    <w:rsid w:val="009705E7"/>
    <w:rPr>
      <w:rFonts w:ascii="Helvetica" w:hAnsi="Helvetica"/>
      <w:sz w:val="24"/>
      <w:lang w:eastAsia="en-US"/>
    </w:rPr>
  </w:style>
  <w:style w:type="paragraph" w:styleId="ListParagraph">
    <w:name w:val="List Paragraph"/>
    <w:basedOn w:val="Normal"/>
    <w:uiPriority w:val="99"/>
    <w:qFormat/>
    <w:rsid w:val="009705E7"/>
    <w:pPr>
      <w:ind w:left="720"/>
      <w:contextualSpacing/>
    </w:pPr>
  </w:style>
  <w:style w:type="paragraph" w:styleId="NoSpacing">
    <w:name w:val="No Spacing"/>
    <w:uiPriority w:val="99"/>
    <w:qFormat/>
    <w:rsid w:val="009705E7"/>
    <w:rPr>
      <w:rFonts w:ascii="HelvLight" w:hAnsi="HelvLight"/>
      <w:lang w:eastAsia="en-US"/>
    </w:rPr>
  </w:style>
  <w:style w:type="character" w:customStyle="1" w:styleId="BodyTextIndentChar">
    <w:name w:val="Body Text Indent Char"/>
    <w:basedOn w:val="DefaultParagraphFont"/>
    <w:link w:val="BodyTextIndent"/>
    <w:rsid w:val="00C2308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F00E-DC20-41A6-ABCC-BE11C701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2097</Words>
  <Characters>11959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TOBRAMYCIN NEBULISER SOLUTION</vt:lpstr>
    </vt:vector>
  </TitlesOfParts>
  <Company>Dept. Medicines Management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TOBRAMYCIN NEBULISER SOLUTION</dc:title>
  <dc:creator>IT Department</dc:creator>
  <cp:lastModifiedBy>IMAJI, Grace (NHS MIDLANDS AND LANCASHIRE COMMISSIONING SUPPORT UNIT)</cp:lastModifiedBy>
  <cp:revision>2</cp:revision>
  <cp:lastPrinted>2012-10-11T10:21:00Z</cp:lastPrinted>
  <dcterms:created xsi:type="dcterms:W3CDTF">2023-06-08T17:35:00Z</dcterms:created>
  <dcterms:modified xsi:type="dcterms:W3CDTF">2023-06-08T17:35:00Z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00080004010000000000010242110207f74006b004c800</vt:lpwstr>
  </property>
</Properties>
</file>